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4F" w:rsidRPr="00F149EB" w:rsidRDefault="00D12D3D" w:rsidP="00546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9EB">
        <w:rPr>
          <w:rFonts w:ascii="Times New Roman" w:hAnsi="Times New Roman" w:cs="Times New Roman"/>
          <w:b/>
          <w:sz w:val="28"/>
          <w:szCs w:val="28"/>
        </w:rPr>
        <w:t>Отчет о результатах мониторинга закупок для обеспечения муниципальных нужд г</w:t>
      </w:r>
      <w:r w:rsidR="00450A4F" w:rsidRPr="00F149EB">
        <w:rPr>
          <w:rFonts w:ascii="Times New Roman" w:hAnsi="Times New Roman" w:cs="Times New Roman"/>
          <w:b/>
          <w:sz w:val="28"/>
          <w:szCs w:val="28"/>
        </w:rPr>
        <w:t xml:space="preserve">ородского округа «город Якутск» </w:t>
      </w:r>
    </w:p>
    <w:p w:rsidR="004A44D3" w:rsidRPr="00F149EB" w:rsidRDefault="006A0301" w:rsidP="00546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9EB">
        <w:rPr>
          <w:rFonts w:ascii="Times New Roman" w:hAnsi="Times New Roman" w:cs="Times New Roman"/>
          <w:b/>
          <w:sz w:val="28"/>
          <w:szCs w:val="28"/>
        </w:rPr>
        <w:t>за 202</w:t>
      </w:r>
      <w:r w:rsidR="00BA0152" w:rsidRPr="00F149EB">
        <w:rPr>
          <w:rFonts w:ascii="Times New Roman" w:hAnsi="Times New Roman" w:cs="Times New Roman"/>
          <w:b/>
          <w:sz w:val="28"/>
          <w:szCs w:val="28"/>
        </w:rPr>
        <w:t>3</w:t>
      </w:r>
      <w:r w:rsidR="00D12D3D" w:rsidRPr="00F149E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A44D3" w:rsidRPr="00F149EB" w:rsidRDefault="004A44D3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основными задачами Управления муниципальных закупок Окружной администрации города Якутска являются: </w:t>
      </w:r>
    </w:p>
    <w:p w:rsidR="004A44D3" w:rsidRPr="00F149EB" w:rsidRDefault="004A44D3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- повышение эффективности, результативности осуществления закупок товаров, работ, услуг;</w:t>
      </w:r>
    </w:p>
    <w:p w:rsidR="004A44D3" w:rsidRPr="00F149EB" w:rsidRDefault="004A44D3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- обеспечение гласности и прозрачности осуществления закупок товаров, работ, услуг;</w:t>
      </w:r>
    </w:p>
    <w:p w:rsidR="004A44D3" w:rsidRPr="00F149EB" w:rsidRDefault="004A44D3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- предотвращение коррупции и других злоупотреблений в сфере закупок товаров, работ, услуг;</w:t>
      </w:r>
    </w:p>
    <w:p w:rsidR="004A44D3" w:rsidRPr="00F149EB" w:rsidRDefault="004A44D3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Российской Федерации в сфере закупок.</w:t>
      </w:r>
    </w:p>
    <w:p w:rsidR="004A44D3" w:rsidRPr="00F149EB" w:rsidRDefault="004A44D3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Управление муниципальных закупок размещает закупки за </w:t>
      </w:r>
      <w:r w:rsidR="002F6E4A" w:rsidRPr="00F149EB">
        <w:rPr>
          <w:rFonts w:ascii="Times New Roman" w:hAnsi="Times New Roman" w:cs="Times New Roman"/>
          <w:sz w:val="28"/>
          <w:szCs w:val="28"/>
        </w:rPr>
        <w:t>191</w:t>
      </w:r>
      <w:r w:rsidRPr="00F149EB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2205C3" w:rsidRPr="00F149EB">
        <w:rPr>
          <w:rFonts w:ascii="Times New Roman" w:hAnsi="Times New Roman" w:cs="Times New Roman"/>
          <w:sz w:val="28"/>
          <w:szCs w:val="28"/>
        </w:rPr>
        <w:t>ов</w:t>
      </w:r>
      <w:r w:rsidRPr="00F149EB">
        <w:rPr>
          <w:rFonts w:ascii="Times New Roman" w:hAnsi="Times New Roman" w:cs="Times New Roman"/>
          <w:sz w:val="28"/>
          <w:szCs w:val="28"/>
        </w:rPr>
        <w:t xml:space="preserve"> городского округа «город Якутск». Это муниципальные и бюджетные учреждения городского округа «город Якутск»: школы, детские сады, учреждения культуры, муниципальные казенные учреждения, структурные подразделения Окружной администрации города Якутска.</w:t>
      </w:r>
    </w:p>
    <w:p w:rsidR="004A44D3" w:rsidRPr="00F149EB" w:rsidRDefault="00F45F8D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В соответствии с постановлением Окружной администрацией города Якутска от 27 октября 2015 года № 279п «О проведении мониторинга закупок для обеспечения муниципальных нужд городского округа «город Якутск»», постановлением от 07 апреля 2017 года № 98п «О внесении изменений в постановление Окружной администрации города Якутска от 27.10.2015 № 279п», Управлением муниципальных закупок проведена комплексная оценка эффективности деятельности заказчиков городско</w:t>
      </w:r>
      <w:r w:rsidR="001827BE" w:rsidRPr="00F149EB">
        <w:rPr>
          <w:rFonts w:ascii="Times New Roman" w:hAnsi="Times New Roman" w:cs="Times New Roman"/>
          <w:sz w:val="28"/>
          <w:szCs w:val="28"/>
        </w:rPr>
        <w:t>го округа «город Якутск» за 2022</w:t>
      </w:r>
      <w:r w:rsidRPr="00F149EB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597F57" w:rsidRPr="00F149EB" w:rsidRDefault="00597F57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F57" w:rsidRPr="00F149EB" w:rsidRDefault="00BA0152" w:rsidP="00597F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noProof/>
          <w:lang w:eastAsia="ru-RU"/>
        </w:rPr>
        <w:drawing>
          <wp:inline distT="0" distB="0" distL="0" distR="0" wp14:anchorId="76F631A1" wp14:editId="531AA8C1">
            <wp:extent cx="6038850" cy="22193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038F" w:rsidRPr="00F149EB" w:rsidRDefault="0042038F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E5F" w:rsidRPr="00F149EB" w:rsidRDefault="00BA2E5F" w:rsidP="00BA0152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Полученные по результатам монитор</w:t>
      </w:r>
      <w:r w:rsidR="00FE3B13" w:rsidRPr="00F149EB">
        <w:rPr>
          <w:rFonts w:ascii="Times New Roman" w:hAnsi="Times New Roman" w:cs="Times New Roman"/>
          <w:sz w:val="28"/>
          <w:szCs w:val="28"/>
        </w:rPr>
        <w:t>инга сведения свидетельствуют о</w:t>
      </w:r>
      <w:r w:rsidR="00597F57" w:rsidRPr="00F149EB">
        <w:rPr>
          <w:rFonts w:ascii="Times New Roman" w:hAnsi="Times New Roman" w:cs="Times New Roman"/>
          <w:sz w:val="28"/>
          <w:szCs w:val="28"/>
        </w:rPr>
        <w:t>б</w:t>
      </w:r>
      <w:r w:rsidRPr="00F149EB">
        <w:rPr>
          <w:rFonts w:ascii="Times New Roman" w:hAnsi="Times New Roman" w:cs="Times New Roman"/>
          <w:sz w:val="28"/>
          <w:szCs w:val="28"/>
        </w:rPr>
        <w:t xml:space="preserve"> </w:t>
      </w:r>
      <w:r w:rsidR="00597F57" w:rsidRPr="00F149EB">
        <w:rPr>
          <w:rFonts w:ascii="Times New Roman" w:hAnsi="Times New Roman" w:cs="Times New Roman"/>
          <w:sz w:val="28"/>
          <w:szCs w:val="28"/>
        </w:rPr>
        <w:t>увеличении</w:t>
      </w:r>
      <w:r w:rsidRPr="00F149EB">
        <w:rPr>
          <w:rFonts w:ascii="Times New Roman" w:hAnsi="Times New Roman" w:cs="Times New Roman"/>
          <w:sz w:val="28"/>
          <w:szCs w:val="28"/>
        </w:rPr>
        <w:t xml:space="preserve"> условной экономии денежных средств в 202</w:t>
      </w:r>
      <w:r w:rsidR="00BA0152" w:rsidRPr="00F149EB">
        <w:rPr>
          <w:rFonts w:ascii="Times New Roman" w:hAnsi="Times New Roman" w:cs="Times New Roman"/>
          <w:sz w:val="28"/>
          <w:szCs w:val="28"/>
        </w:rPr>
        <w:t>3</w:t>
      </w:r>
      <w:r w:rsidRPr="00F149EB">
        <w:rPr>
          <w:rFonts w:ascii="Times New Roman" w:hAnsi="Times New Roman" w:cs="Times New Roman"/>
          <w:sz w:val="28"/>
          <w:szCs w:val="28"/>
        </w:rPr>
        <w:t xml:space="preserve"> году по сравнению с аналогичным периодом прошлого года</w:t>
      </w:r>
      <w:r w:rsidR="00FE3B13" w:rsidRPr="00F149EB">
        <w:rPr>
          <w:rFonts w:ascii="Times New Roman" w:hAnsi="Times New Roman" w:cs="Times New Roman"/>
          <w:sz w:val="28"/>
          <w:szCs w:val="28"/>
        </w:rPr>
        <w:t xml:space="preserve"> на </w:t>
      </w:r>
      <w:r w:rsidR="00BA0152" w:rsidRPr="00F149EB">
        <w:rPr>
          <w:rFonts w:ascii="Times New Roman" w:hAnsi="Times New Roman" w:cs="Times New Roman"/>
          <w:sz w:val="28"/>
          <w:szCs w:val="28"/>
        </w:rPr>
        <w:t>153,13</w:t>
      </w:r>
      <w:r w:rsidR="00FE3B13" w:rsidRPr="00F149EB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Pr="00F149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EB4" w:rsidRPr="00F149EB" w:rsidRDefault="00290EB4" w:rsidP="00BA2E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Согласно ч. 1 ст. 30 Федерального закона о контрактной системе заказчики обязаны осуществлять закупки у субъектов малого </w:t>
      </w:r>
      <w:r w:rsidRPr="00F149EB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социально ориентированных некоммерческих орг</w:t>
      </w:r>
      <w:r w:rsidR="00814131" w:rsidRPr="00F149EB">
        <w:rPr>
          <w:rFonts w:ascii="Times New Roman" w:hAnsi="Times New Roman" w:cs="Times New Roman"/>
          <w:sz w:val="28"/>
          <w:szCs w:val="28"/>
        </w:rPr>
        <w:t>анизаций в объеме не менее чем двадцать пять</w:t>
      </w:r>
      <w:r w:rsidRPr="00F149EB">
        <w:rPr>
          <w:rFonts w:ascii="Times New Roman" w:hAnsi="Times New Roman" w:cs="Times New Roman"/>
          <w:sz w:val="28"/>
          <w:szCs w:val="28"/>
        </w:rPr>
        <w:t xml:space="preserve"> процентов совокупного годового объема закупок. Муниципальные заказчики городского округа «город Якутск» самостоятельно определяют виды товаров, работ, услуг, которые могут поставить, выполнить, оказать субъекты малого предпринимательства, социально ориентированные некоммерческие организации. </w:t>
      </w:r>
    </w:p>
    <w:p w:rsidR="00E0626C" w:rsidRPr="00F149EB" w:rsidRDefault="00814131" w:rsidP="00E062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В 202</w:t>
      </w:r>
      <w:r w:rsidR="00BA0152" w:rsidRPr="00F149EB">
        <w:rPr>
          <w:rFonts w:ascii="Times New Roman" w:hAnsi="Times New Roman" w:cs="Times New Roman"/>
          <w:sz w:val="28"/>
          <w:szCs w:val="28"/>
        </w:rPr>
        <w:t>3</w:t>
      </w:r>
      <w:r w:rsidR="00290EB4" w:rsidRPr="00F149EB">
        <w:rPr>
          <w:rFonts w:ascii="Times New Roman" w:hAnsi="Times New Roman" w:cs="Times New Roman"/>
          <w:sz w:val="28"/>
          <w:szCs w:val="28"/>
        </w:rPr>
        <w:t xml:space="preserve"> году опубликовано муниципальных закупок для субъектов малого предпринимательства, социально ориентированных некоммерческих организаций на </w:t>
      </w:r>
      <w:r w:rsidR="0042715D" w:rsidRPr="00F149EB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BA0152" w:rsidRPr="00F149EB">
        <w:rPr>
          <w:rFonts w:ascii="Times New Roman" w:hAnsi="Times New Roman" w:cs="Times New Roman"/>
          <w:sz w:val="28"/>
          <w:szCs w:val="28"/>
        </w:rPr>
        <w:t>2 851,3</w:t>
      </w:r>
      <w:r w:rsidR="00465F36" w:rsidRPr="00F149EB">
        <w:rPr>
          <w:rFonts w:ascii="Times New Roman" w:hAnsi="Times New Roman" w:cs="Times New Roman"/>
          <w:sz w:val="28"/>
          <w:szCs w:val="28"/>
        </w:rPr>
        <w:t xml:space="preserve"> </w:t>
      </w:r>
      <w:r w:rsidR="00FE3B13" w:rsidRPr="00F149EB">
        <w:rPr>
          <w:rFonts w:ascii="Times New Roman" w:hAnsi="Times New Roman" w:cs="Times New Roman"/>
          <w:sz w:val="28"/>
          <w:szCs w:val="28"/>
        </w:rPr>
        <w:t>млн. руб.</w:t>
      </w:r>
      <w:r w:rsidR="0042715D" w:rsidRPr="00F149EB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BA0152" w:rsidRPr="00F149EB">
        <w:rPr>
          <w:rFonts w:ascii="Times New Roman" w:hAnsi="Times New Roman" w:cs="Times New Roman"/>
          <w:sz w:val="28"/>
          <w:szCs w:val="28"/>
        </w:rPr>
        <w:t>37,33</w:t>
      </w:r>
      <w:r w:rsidR="00290EB4" w:rsidRPr="00F149EB">
        <w:rPr>
          <w:rFonts w:ascii="Times New Roman" w:hAnsi="Times New Roman" w:cs="Times New Roman"/>
          <w:sz w:val="28"/>
          <w:szCs w:val="28"/>
        </w:rPr>
        <w:t>%</w:t>
      </w:r>
      <w:r w:rsidR="00BA2E5F" w:rsidRPr="00F149EB">
        <w:rPr>
          <w:rFonts w:ascii="Times New Roman" w:hAnsi="Times New Roman" w:cs="Times New Roman"/>
          <w:sz w:val="28"/>
          <w:szCs w:val="28"/>
        </w:rPr>
        <w:t xml:space="preserve"> от </w:t>
      </w:r>
      <w:r w:rsidR="00E0626C" w:rsidRPr="00F149EB">
        <w:rPr>
          <w:rFonts w:ascii="Times New Roman" w:hAnsi="Times New Roman" w:cs="Times New Roman"/>
          <w:sz w:val="28"/>
          <w:szCs w:val="28"/>
        </w:rPr>
        <w:t xml:space="preserve">совокупного годового объема закупок, рассчитанного с учетом </w:t>
      </w:r>
      <w:hyperlink r:id="rId8" w:history="1">
        <w:r w:rsidR="00E0626C" w:rsidRPr="00F149EB">
          <w:rPr>
            <w:rFonts w:ascii="Times New Roman" w:hAnsi="Times New Roman" w:cs="Times New Roman"/>
            <w:sz w:val="28"/>
            <w:szCs w:val="28"/>
          </w:rPr>
          <w:t>части 1.1</w:t>
        </w:r>
      </w:hyperlink>
      <w:r w:rsidR="00E0626C" w:rsidRPr="00F149EB">
        <w:rPr>
          <w:rFonts w:ascii="Times New Roman" w:hAnsi="Times New Roman" w:cs="Times New Roman"/>
          <w:sz w:val="28"/>
          <w:szCs w:val="28"/>
        </w:rPr>
        <w:t xml:space="preserve"> статьи 30 Федерального закона №44-ФЗ «О контрактной системе в сфере закупок товаров, работ, услуг для обеспечения государственных и муниципальных нужд».</w:t>
      </w:r>
    </w:p>
    <w:p w:rsidR="00E0626C" w:rsidRPr="00F149EB" w:rsidRDefault="00E0626C" w:rsidP="00E06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EB4" w:rsidRPr="00F149EB" w:rsidRDefault="00290EB4" w:rsidP="0054638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50A4F" w:rsidRPr="00F149EB" w:rsidRDefault="00450A4F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0D9" w:rsidRPr="00F149EB" w:rsidRDefault="002B40D9" w:rsidP="00546380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49EB">
        <w:rPr>
          <w:rFonts w:ascii="Times New Roman" w:hAnsi="Times New Roman" w:cs="Times New Roman"/>
          <w:i/>
          <w:sz w:val="28"/>
          <w:szCs w:val="28"/>
          <w:u w:val="single"/>
        </w:rPr>
        <w:t>Показатели планирования закупок</w:t>
      </w:r>
    </w:p>
    <w:p w:rsidR="0057578A" w:rsidRPr="00F149EB" w:rsidRDefault="0057578A" w:rsidP="0057578A">
      <w:pPr>
        <w:pStyle w:val="ad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2B40D9" w:rsidRPr="00F149EB" w:rsidRDefault="002B40D9" w:rsidP="005463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Анализ планиров</w:t>
      </w:r>
      <w:r w:rsidR="00E0626C" w:rsidRPr="00F149EB">
        <w:rPr>
          <w:rFonts w:ascii="Times New Roman" w:hAnsi="Times New Roman" w:cs="Times New Roman"/>
          <w:sz w:val="28"/>
          <w:szCs w:val="28"/>
        </w:rPr>
        <w:t>ания закупок по результатам 202</w:t>
      </w:r>
      <w:r w:rsidR="00BA0152" w:rsidRPr="00F149EB">
        <w:rPr>
          <w:rFonts w:ascii="Times New Roman" w:hAnsi="Times New Roman" w:cs="Times New Roman"/>
          <w:sz w:val="28"/>
          <w:szCs w:val="28"/>
        </w:rPr>
        <w:t xml:space="preserve">3 </w:t>
      </w:r>
      <w:r w:rsidRPr="00F149EB">
        <w:rPr>
          <w:rFonts w:ascii="Times New Roman" w:hAnsi="Times New Roman" w:cs="Times New Roman"/>
          <w:sz w:val="28"/>
          <w:szCs w:val="28"/>
        </w:rPr>
        <w:t xml:space="preserve">года показывает, что данный показатель находится </w:t>
      </w:r>
      <w:r w:rsidR="00680CC4" w:rsidRPr="00F149EB">
        <w:rPr>
          <w:rFonts w:ascii="Times New Roman" w:hAnsi="Times New Roman" w:cs="Times New Roman"/>
          <w:sz w:val="28"/>
          <w:szCs w:val="28"/>
        </w:rPr>
        <w:t xml:space="preserve">на нормативно </w:t>
      </w:r>
      <w:r w:rsidR="00A05545" w:rsidRPr="00F149EB">
        <w:rPr>
          <w:rFonts w:ascii="Times New Roman" w:hAnsi="Times New Roman" w:cs="Times New Roman"/>
          <w:sz w:val="28"/>
          <w:szCs w:val="28"/>
        </w:rPr>
        <w:t>эффективном уровне (0,89</w:t>
      </w:r>
      <w:r w:rsidRPr="00F149EB">
        <w:rPr>
          <w:rFonts w:ascii="Times New Roman" w:hAnsi="Times New Roman" w:cs="Times New Roman"/>
          <w:sz w:val="28"/>
          <w:szCs w:val="28"/>
        </w:rPr>
        <w:t>%).</w:t>
      </w:r>
    </w:p>
    <w:p w:rsidR="002B40D9" w:rsidRPr="00F149EB" w:rsidRDefault="002B40D9" w:rsidP="005463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осуществления закупок товаров, работ, услуг считается месяц и год закупки, указанные в лоте плана-графика.</w:t>
      </w:r>
    </w:p>
    <w:p w:rsidR="002B40D9" w:rsidRPr="00F149EB" w:rsidRDefault="002B40D9" w:rsidP="005463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40D9" w:rsidRPr="00F149EB" w:rsidRDefault="002B40D9" w:rsidP="00546380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i/>
          <w:sz w:val="28"/>
          <w:szCs w:val="28"/>
          <w:u w:val="single"/>
        </w:rPr>
        <w:t>Показатели количественного анализа осуществления закупок</w:t>
      </w:r>
    </w:p>
    <w:p w:rsidR="00C30CA8" w:rsidRPr="00F149EB" w:rsidRDefault="00A91B6D" w:rsidP="00C30CA8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9EB">
        <w:rPr>
          <w:noProof/>
          <w:lang w:eastAsia="ru-RU"/>
        </w:rPr>
        <w:drawing>
          <wp:inline distT="0" distB="0" distL="0" distR="0" wp14:anchorId="42EDC7C5" wp14:editId="42C970DE">
            <wp:extent cx="5941060" cy="3308350"/>
            <wp:effectExtent l="0" t="0" r="254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0CA8" w:rsidRPr="00F149EB" w:rsidRDefault="00C30CA8" w:rsidP="00C30CA8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880"/>
        <w:gridCol w:w="2140"/>
        <w:gridCol w:w="2300"/>
        <w:gridCol w:w="2060"/>
      </w:tblGrid>
      <w:tr w:rsidR="00A91B6D" w:rsidRPr="00F149EB" w:rsidTr="00A91B6D">
        <w:trPr>
          <w:trHeight w:val="114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Способ определения</w:t>
            </w: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поставщика (подрядчика, исполнителя)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закупок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осуществленных закупок, руб.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общей суммы размещенных закупок, %</w:t>
            </w:r>
          </w:p>
        </w:tc>
      </w:tr>
      <w:tr w:rsidR="00A91B6D" w:rsidRPr="00F149EB" w:rsidTr="00A91B6D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аукцион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1 297 234 075,80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11,87</w:t>
            </w:r>
          </w:p>
        </w:tc>
      </w:tr>
      <w:tr w:rsidR="00A91B6D" w:rsidRPr="00F149EB" w:rsidTr="00A91B6D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Открытый конкурс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5 779 366 013,91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52,86</w:t>
            </w:r>
          </w:p>
        </w:tc>
      </w:tr>
      <w:tr w:rsidR="00A91B6D" w:rsidRPr="00F149EB" w:rsidTr="00A91B6D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 котировок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560 933 647,26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5,13</w:t>
            </w:r>
          </w:p>
        </w:tc>
      </w:tr>
      <w:tr w:rsidR="00A91B6D" w:rsidRPr="00F149EB" w:rsidTr="00A91B6D">
        <w:trPr>
          <w:trHeight w:val="57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конкурентными способами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7 637 533 736,97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69,86</w:t>
            </w:r>
          </w:p>
        </w:tc>
      </w:tr>
      <w:tr w:rsidR="00A91B6D" w:rsidRPr="00F149EB" w:rsidTr="00A91B6D">
        <w:trPr>
          <w:trHeight w:val="90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(ст. 93 Закона о контрактной системе)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1 724 151 505,38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15,77</w:t>
            </w:r>
          </w:p>
        </w:tc>
      </w:tr>
      <w:tr w:rsidR="00A91B6D" w:rsidRPr="00F149EB" w:rsidTr="00A91B6D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(закупки малого объема)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1 571 185 829,30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14,37</w:t>
            </w:r>
          </w:p>
        </w:tc>
      </w:tr>
      <w:tr w:rsidR="00A91B6D" w:rsidRPr="00F149EB" w:rsidTr="00A91B6D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B6D" w:rsidRPr="00F149EB" w:rsidRDefault="00A91B6D" w:rsidP="00A9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неконкурентными способами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B6D" w:rsidRPr="00F149EB" w:rsidRDefault="00A91B6D" w:rsidP="00A91B6D">
            <w:pPr>
              <w:jc w:val="center"/>
              <w:rPr>
                <w:rFonts w:ascii="Times New Roman" w:hAnsi="Times New Roman" w:cs="Times New Roman"/>
              </w:rPr>
            </w:pPr>
            <w:r w:rsidRPr="00F149EB">
              <w:rPr>
                <w:rFonts w:ascii="Times New Roman" w:hAnsi="Times New Roman" w:cs="Times New Roman"/>
              </w:rPr>
              <w:t>23219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B6D" w:rsidRPr="00F149EB" w:rsidRDefault="00A91B6D" w:rsidP="00A91B6D">
            <w:pPr>
              <w:jc w:val="center"/>
              <w:rPr>
                <w:rFonts w:ascii="Times New Roman" w:hAnsi="Times New Roman" w:cs="Times New Roman"/>
              </w:rPr>
            </w:pPr>
            <w:r w:rsidRPr="00F149EB">
              <w:rPr>
                <w:rFonts w:ascii="Times New Roman" w:hAnsi="Times New Roman" w:cs="Times New Roman"/>
              </w:rPr>
              <w:t>3 295 337 335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B6D" w:rsidRPr="00F149EB" w:rsidRDefault="00A91B6D" w:rsidP="00A91B6D">
            <w:pPr>
              <w:jc w:val="center"/>
              <w:rPr>
                <w:rFonts w:ascii="Times New Roman" w:hAnsi="Times New Roman" w:cs="Times New Roman"/>
              </w:rPr>
            </w:pPr>
            <w:r w:rsidRPr="00F149EB">
              <w:rPr>
                <w:rFonts w:ascii="Times New Roman" w:hAnsi="Times New Roman" w:cs="Times New Roman"/>
              </w:rPr>
              <w:t>30,14</w:t>
            </w:r>
          </w:p>
        </w:tc>
      </w:tr>
      <w:tr w:rsidR="00A91B6D" w:rsidRPr="00F149EB" w:rsidTr="00A91B6D">
        <w:trPr>
          <w:trHeight w:val="30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24 602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10 932 871 072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B6D" w:rsidRPr="00F149EB" w:rsidRDefault="00A91B6D" w:rsidP="00A9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</w:tbl>
    <w:p w:rsidR="00A91B6D" w:rsidRPr="00F149EB" w:rsidRDefault="00A91B6D" w:rsidP="00A91B6D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A97" w:rsidRPr="00F149EB" w:rsidRDefault="00C13A97" w:rsidP="00C30CA8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050" w:rsidRPr="00F149EB" w:rsidRDefault="00262050" w:rsidP="00262050">
      <w:pPr>
        <w:pStyle w:val="ad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Доля закупок путем проведения аукционов к общему количеству закупок: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d1= Qа / Qzak*100%, где 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Q а– количество проведенных аукционов;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Qzak – общее количество закупок.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Оценка по показателю – </w:t>
      </w:r>
      <w:r w:rsidR="001C4370" w:rsidRPr="00F149EB">
        <w:rPr>
          <w:rFonts w:ascii="Times New Roman" w:hAnsi="Times New Roman" w:cs="Times New Roman"/>
          <w:sz w:val="28"/>
          <w:szCs w:val="28"/>
        </w:rPr>
        <w:t xml:space="preserve">низко </w:t>
      </w:r>
      <w:r w:rsidRPr="00F149EB">
        <w:rPr>
          <w:rFonts w:ascii="Times New Roman" w:hAnsi="Times New Roman" w:cs="Times New Roman"/>
          <w:sz w:val="28"/>
          <w:szCs w:val="28"/>
        </w:rPr>
        <w:t>эффективная.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050" w:rsidRPr="00F149EB" w:rsidRDefault="00262050" w:rsidP="00262050">
      <w:pPr>
        <w:pStyle w:val="ad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Доля закупок путем проведения конкурсов к общему количеству закупок: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d2= Qk / Qzak*100%, где 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Qk – количество проведенных конкурсов;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Qzak – общее количество закупок.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Оценка по данному показателю –неэффективная. 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050" w:rsidRPr="00F149EB" w:rsidRDefault="00262050" w:rsidP="00262050">
      <w:pPr>
        <w:pStyle w:val="ad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Доля закупок путем проведения запроса котировок (запроса предложений) к общему количеству закупок: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d3= Qзк / Qzak*100%, где 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Qзк– количество закупок проведения путем запроса котировок и запроса предложений;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Qzak – общее количество закупок.</w:t>
      </w:r>
    </w:p>
    <w:p w:rsidR="00262050" w:rsidRPr="00F149EB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Оценка показателя – </w:t>
      </w:r>
      <w:r w:rsidR="0047060F" w:rsidRPr="00F149EB">
        <w:rPr>
          <w:rFonts w:ascii="Times New Roman" w:hAnsi="Times New Roman" w:cs="Times New Roman"/>
          <w:sz w:val="28"/>
          <w:szCs w:val="28"/>
        </w:rPr>
        <w:t xml:space="preserve">низко </w:t>
      </w:r>
      <w:r w:rsidRPr="00F149EB">
        <w:rPr>
          <w:rFonts w:ascii="Times New Roman" w:hAnsi="Times New Roman" w:cs="Times New Roman"/>
          <w:sz w:val="28"/>
          <w:szCs w:val="28"/>
        </w:rPr>
        <w:t>эффективная.</w:t>
      </w:r>
    </w:p>
    <w:p w:rsidR="00022C71" w:rsidRPr="00F149EB" w:rsidRDefault="00022C71" w:rsidP="005463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94" w:rsidRPr="00F149EB" w:rsidRDefault="002B40D9" w:rsidP="005463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Анализ структу</w:t>
      </w:r>
      <w:r w:rsidR="00C30CA8" w:rsidRPr="00F149EB">
        <w:rPr>
          <w:rFonts w:ascii="Times New Roman" w:hAnsi="Times New Roman" w:cs="Times New Roman"/>
          <w:sz w:val="28"/>
          <w:szCs w:val="28"/>
        </w:rPr>
        <w:t>ры закупок, осущест</w:t>
      </w:r>
      <w:r w:rsidR="001C4370" w:rsidRPr="00F149EB">
        <w:rPr>
          <w:rFonts w:ascii="Times New Roman" w:hAnsi="Times New Roman" w:cs="Times New Roman"/>
          <w:sz w:val="28"/>
          <w:szCs w:val="28"/>
        </w:rPr>
        <w:t>вленных в 202</w:t>
      </w:r>
      <w:r w:rsidR="00753974" w:rsidRPr="00F149EB">
        <w:rPr>
          <w:rFonts w:ascii="Times New Roman" w:hAnsi="Times New Roman" w:cs="Times New Roman"/>
          <w:sz w:val="28"/>
          <w:szCs w:val="28"/>
        </w:rPr>
        <w:t>3</w:t>
      </w:r>
      <w:r w:rsidRPr="00F149EB">
        <w:rPr>
          <w:rFonts w:ascii="Times New Roman" w:hAnsi="Times New Roman" w:cs="Times New Roman"/>
          <w:sz w:val="28"/>
          <w:szCs w:val="28"/>
        </w:rPr>
        <w:t xml:space="preserve"> году, показывает, что преобладающим способом определения поставщиков (подрядчиков, исполнителей) в отчетном периоде является </w:t>
      </w:r>
      <w:r w:rsidR="001C4370" w:rsidRPr="00F149EB">
        <w:rPr>
          <w:rFonts w:ascii="Times New Roman" w:hAnsi="Times New Roman" w:cs="Times New Roman"/>
          <w:sz w:val="28"/>
          <w:szCs w:val="28"/>
        </w:rPr>
        <w:t>открытый конкурс в электронной форме</w:t>
      </w:r>
      <w:r w:rsidRPr="00F149EB">
        <w:rPr>
          <w:rFonts w:ascii="Times New Roman" w:hAnsi="Times New Roman" w:cs="Times New Roman"/>
          <w:sz w:val="28"/>
          <w:szCs w:val="28"/>
        </w:rPr>
        <w:t xml:space="preserve">. Доля </w:t>
      </w:r>
      <w:r w:rsidR="001C4370" w:rsidRPr="00F149EB">
        <w:rPr>
          <w:rFonts w:ascii="Times New Roman" w:hAnsi="Times New Roman" w:cs="Times New Roman"/>
          <w:sz w:val="28"/>
          <w:szCs w:val="28"/>
        </w:rPr>
        <w:t>конкурсов</w:t>
      </w:r>
      <w:r w:rsidR="00262050" w:rsidRPr="00F149E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C4370" w:rsidRPr="00F149EB">
        <w:rPr>
          <w:rFonts w:ascii="Times New Roman" w:hAnsi="Times New Roman" w:cs="Times New Roman"/>
          <w:sz w:val="28"/>
          <w:szCs w:val="28"/>
        </w:rPr>
        <w:t>52</w:t>
      </w:r>
      <w:r w:rsidR="00753974" w:rsidRPr="00F149EB">
        <w:rPr>
          <w:rFonts w:ascii="Times New Roman" w:hAnsi="Times New Roman" w:cs="Times New Roman"/>
          <w:sz w:val="28"/>
          <w:szCs w:val="28"/>
        </w:rPr>
        <w:t>,86</w:t>
      </w:r>
      <w:r w:rsidRPr="00F149EB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262050" w:rsidRPr="00F149EB">
        <w:rPr>
          <w:rFonts w:ascii="Times New Roman" w:hAnsi="Times New Roman" w:cs="Times New Roman"/>
          <w:sz w:val="28"/>
          <w:szCs w:val="28"/>
        </w:rPr>
        <w:t>количества</w:t>
      </w:r>
      <w:r w:rsidRPr="00F149EB">
        <w:rPr>
          <w:rFonts w:ascii="Times New Roman" w:hAnsi="Times New Roman" w:cs="Times New Roman"/>
          <w:sz w:val="28"/>
          <w:szCs w:val="28"/>
        </w:rPr>
        <w:t xml:space="preserve"> размещенных в единой информационной систем</w:t>
      </w:r>
      <w:r w:rsidR="00A36324" w:rsidRPr="00F149EB">
        <w:rPr>
          <w:rFonts w:ascii="Times New Roman" w:hAnsi="Times New Roman" w:cs="Times New Roman"/>
          <w:sz w:val="28"/>
          <w:szCs w:val="28"/>
        </w:rPr>
        <w:t>е извещений. По отношению к 202</w:t>
      </w:r>
      <w:r w:rsidR="00753974" w:rsidRPr="00F149EB">
        <w:rPr>
          <w:rFonts w:ascii="Times New Roman" w:hAnsi="Times New Roman" w:cs="Times New Roman"/>
          <w:sz w:val="28"/>
          <w:szCs w:val="28"/>
        </w:rPr>
        <w:t>2</w:t>
      </w:r>
      <w:r w:rsidRPr="00F149EB">
        <w:rPr>
          <w:rFonts w:ascii="Times New Roman" w:hAnsi="Times New Roman" w:cs="Times New Roman"/>
          <w:sz w:val="28"/>
          <w:szCs w:val="28"/>
        </w:rPr>
        <w:t xml:space="preserve"> году отмечается </w:t>
      </w:r>
      <w:r w:rsidR="001C4370" w:rsidRPr="00F149EB">
        <w:rPr>
          <w:rFonts w:ascii="Times New Roman" w:hAnsi="Times New Roman" w:cs="Times New Roman"/>
          <w:sz w:val="28"/>
          <w:szCs w:val="28"/>
        </w:rPr>
        <w:t>увеличение</w:t>
      </w:r>
      <w:r w:rsidRPr="00F149EB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1C4370" w:rsidRPr="00F149EB">
        <w:rPr>
          <w:rFonts w:ascii="Times New Roman" w:hAnsi="Times New Roman" w:cs="Times New Roman"/>
          <w:sz w:val="28"/>
          <w:szCs w:val="28"/>
        </w:rPr>
        <w:t>конкурентных закупок.</w:t>
      </w:r>
    </w:p>
    <w:p w:rsidR="001C4370" w:rsidRPr="00F149EB" w:rsidRDefault="00753974" w:rsidP="001C4370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9EB">
        <w:rPr>
          <w:noProof/>
          <w:lang w:eastAsia="ru-RU"/>
        </w:rPr>
        <w:lastRenderedPageBreak/>
        <w:drawing>
          <wp:inline distT="0" distB="0" distL="0" distR="0" wp14:anchorId="78D30ED0" wp14:editId="53EC2F8E">
            <wp:extent cx="6017496" cy="3646805"/>
            <wp:effectExtent l="0" t="0" r="2540" b="1079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B40D9" w:rsidRPr="00F149EB" w:rsidRDefault="002B40D9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Общее колич</w:t>
      </w:r>
      <w:r w:rsidR="00022C71" w:rsidRPr="00F149EB">
        <w:rPr>
          <w:rFonts w:ascii="Times New Roman" w:hAnsi="Times New Roman" w:cs="Times New Roman"/>
          <w:sz w:val="28"/>
          <w:szCs w:val="28"/>
        </w:rPr>
        <w:t>ество размещенных закупок в 20</w:t>
      </w:r>
      <w:r w:rsidR="00990674" w:rsidRPr="00F149EB">
        <w:rPr>
          <w:rFonts w:ascii="Times New Roman" w:hAnsi="Times New Roman" w:cs="Times New Roman"/>
          <w:sz w:val="28"/>
          <w:szCs w:val="28"/>
        </w:rPr>
        <w:t>2</w:t>
      </w:r>
      <w:r w:rsidR="007E4D86" w:rsidRPr="00F149EB">
        <w:rPr>
          <w:rFonts w:ascii="Times New Roman" w:hAnsi="Times New Roman" w:cs="Times New Roman"/>
          <w:sz w:val="28"/>
          <w:szCs w:val="28"/>
        </w:rPr>
        <w:t>3</w:t>
      </w:r>
      <w:r w:rsidRPr="00F149EB">
        <w:rPr>
          <w:rFonts w:ascii="Times New Roman" w:hAnsi="Times New Roman" w:cs="Times New Roman"/>
          <w:sz w:val="28"/>
          <w:szCs w:val="28"/>
        </w:rPr>
        <w:t xml:space="preserve"> году по сравн</w:t>
      </w:r>
      <w:r w:rsidR="00990674" w:rsidRPr="00F149EB">
        <w:rPr>
          <w:rFonts w:ascii="Times New Roman" w:hAnsi="Times New Roman" w:cs="Times New Roman"/>
          <w:sz w:val="28"/>
          <w:szCs w:val="28"/>
        </w:rPr>
        <w:t>ению с аналогичным периодом 2021</w:t>
      </w:r>
      <w:r w:rsidRPr="00F149E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90674" w:rsidRPr="00F149EB">
        <w:rPr>
          <w:rFonts w:ascii="Times New Roman" w:hAnsi="Times New Roman" w:cs="Times New Roman"/>
          <w:sz w:val="28"/>
          <w:szCs w:val="28"/>
        </w:rPr>
        <w:t>увеличилось</w:t>
      </w:r>
      <w:r w:rsidRPr="00F149EB">
        <w:rPr>
          <w:rFonts w:ascii="Times New Roman" w:hAnsi="Times New Roman" w:cs="Times New Roman"/>
          <w:sz w:val="28"/>
          <w:szCs w:val="28"/>
        </w:rPr>
        <w:t xml:space="preserve"> на </w:t>
      </w:r>
      <w:r w:rsidR="007E4D86" w:rsidRPr="00F149EB">
        <w:rPr>
          <w:rFonts w:ascii="Times New Roman" w:hAnsi="Times New Roman" w:cs="Times New Roman"/>
          <w:sz w:val="28"/>
          <w:szCs w:val="28"/>
        </w:rPr>
        <w:t>27,46</w:t>
      </w:r>
      <w:r w:rsidRPr="00F149EB">
        <w:rPr>
          <w:rFonts w:ascii="Times New Roman" w:hAnsi="Times New Roman" w:cs="Times New Roman"/>
          <w:sz w:val="28"/>
          <w:szCs w:val="28"/>
        </w:rPr>
        <w:t>%, в том чис</w:t>
      </w:r>
      <w:r w:rsidR="0055250E" w:rsidRPr="00F149EB">
        <w:rPr>
          <w:rFonts w:ascii="Times New Roman" w:hAnsi="Times New Roman" w:cs="Times New Roman"/>
          <w:sz w:val="28"/>
          <w:szCs w:val="28"/>
        </w:rPr>
        <w:t xml:space="preserve">ле: </w:t>
      </w:r>
      <w:r w:rsidR="008E764C" w:rsidRPr="00F149E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5250E" w:rsidRPr="00F149EB">
        <w:rPr>
          <w:rFonts w:ascii="Times New Roman" w:hAnsi="Times New Roman" w:cs="Times New Roman"/>
          <w:sz w:val="28"/>
          <w:szCs w:val="28"/>
        </w:rPr>
        <w:t xml:space="preserve">электронных аукционов в </w:t>
      </w:r>
      <w:r w:rsidR="008E764C" w:rsidRPr="00F149EB">
        <w:rPr>
          <w:rFonts w:ascii="Times New Roman" w:hAnsi="Times New Roman" w:cs="Times New Roman"/>
          <w:sz w:val="28"/>
          <w:szCs w:val="28"/>
        </w:rPr>
        <w:t>202</w:t>
      </w:r>
      <w:r w:rsidR="007E4D86" w:rsidRPr="00F149EB">
        <w:rPr>
          <w:rFonts w:ascii="Times New Roman" w:hAnsi="Times New Roman" w:cs="Times New Roman"/>
          <w:sz w:val="28"/>
          <w:szCs w:val="28"/>
        </w:rPr>
        <w:t>3</w:t>
      </w:r>
      <w:r w:rsidR="0055250E" w:rsidRPr="00F149E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E4D86" w:rsidRPr="00F149EB">
        <w:rPr>
          <w:rFonts w:ascii="Times New Roman" w:hAnsi="Times New Roman" w:cs="Times New Roman"/>
          <w:sz w:val="28"/>
          <w:szCs w:val="28"/>
        </w:rPr>
        <w:t>сократилось</w:t>
      </w:r>
      <w:r w:rsidR="008E764C" w:rsidRPr="00F149EB">
        <w:rPr>
          <w:rFonts w:ascii="Times New Roman" w:hAnsi="Times New Roman" w:cs="Times New Roman"/>
          <w:sz w:val="28"/>
          <w:szCs w:val="28"/>
        </w:rPr>
        <w:t xml:space="preserve"> на </w:t>
      </w:r>
      <w:r w:rsidR="007E4D86" w:rsidRPr="00F149EB">
        <w:rPr>
          <w:rFonts w:ascii="Times New Roman" w:hAnsi="Times New Roman" w:cs="Times New Roman"/>
          <w:sz w:val="28"/>
          <w:szCs w:val="28"/>
        </w:rPr>
        <w:t>9,33</w:t>
      </w:r>
      <w:r w:rsidRPr="00F149EB">
        <w:rPr>
          <w:rFonts w:ascii="Times New Roman" w:hAnsi="Times New Roman" w:cs="Times New Roman"/>
          <w:sz w:val="28"/>
          <w:szCs w:val="28"/>
        </w:rPr>
        <w:t xml:space="preserve">%, </w:t>
      </w:r>
      <w:r w:rsidR="00990674" w:rsidRPr="00F149EB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F149EB">
        <w:rPr>
          <w:rFonts w:ascii="Times New Roman" w:hAnsi="Times New Roman" w:cs="Times New Roman"/>
          <w:sz w:val="28"/>
          <w:szCs w:val="28"/>
        </w:rPr>
        <w:t>конкурсов</w:t>
      </w:r>
      <w:r w:rsidR="00990674" w:rsidRPr="00F149EB">
        <w:rPr>
          <w:rFonts w:ascii="Times New Roman" w:hAnsi="Times New Roman" w:cs="Times New Roman"/>
          <w:sz w:val="28"/>
          <w:szCs w:val="28"/>
        </w:rPr>
        <w:t xml:space="preserve"> в электронной</w:t>
      </w:r>
      <w:r w:rsidRPr="00F149EB">
        <w:rPr>
          <w:rFonts w:ascii="Times New Roman" w:hAnsi="Times New Roman" w:cs="Times New Roman"/>
          <w:sz w:val="28"/>
          <w:szCs w:val="28"/>
        </w:rPr>
        <w:t xml:space="preserve"> </w:t>
      </w:r>
      <w:r w:rsidR="00990674" w:rsidRPr="00F149EB">
        <w:rPr>
          <w:rFonts w:ascii="Times New Roman" w:hAnsi="Times New Roman" w:cs="Times New Roman"/>
          <w:sz w:val="28"/>
          <w:szCs w:val="28"/>
        </w:rPr>
        <w:t>форме увеличилось</w:t>
      </w:r>
      <w:r w:rsidR="0055250E" w:rsidRPr="00F149EB">
        <w:rPr>
          <w:rFonts w:ascii="Times New Roman" w:hAnsi="Times New Roman" w:cs="Times New Roman"/>
          <w:sz w:val="28"/>
          <w:szCs w:val="28"/>
        </w:rPr>
        <w:t xml:space="preserve"> </w:t>
      </w:r>
      <w:r w:rsidRPr="00F149EB">
        <w:rPr>
          <w:rFonts w:ascii="Times New Roman" w:hAnsi="Times New Roman" w:cs="Times New Roman"/>
          <w:sz w:val="28"/>
          <w:szCs w:val="28"/>
        </w:rPr>
        <w:t xml:space="preserve">на </w:t>
      </w:r>
      <w:r w:rsidR="007E4D86" w:rsidRPr="00F149EB">
        <w:rPr>
          <w:rFonts w:ascii="Times New Roman" w:hAnsi="Times New Roman" w:cs="Times New Roman"/>
          <w:sz w:val="28"/>
          <w:szCs w:val="28"/>
        </w:rPr>
        <w:t>12,66</w:t>
      </w:r>
      <w:r w:rsidRPr="00F149EB">
        <w:rPr>
          <w:rFonts w:ascii="Times New Roman" w:hAnsi="Times New Roman" w:cs="Times New Roman"/>
          <w:sz w:val="28"/>
          <w:szCs w:val="28"/>
        </w:rPr>
        <w:t>%, запросов котировок</w:t>
      </w:r>
      <w:r w:rsidR="00990674" w:rsidRPr="00F149EB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55250E" w:rsidRPr="00F149EB">
        <w:rPr>
          <w:rFonts w:ascii="Times New Roman" w:hAnsi="Times New Roman" w:cs="Times New Roman"/>
          <w:sz w:val="28"/>
          <w:szCs w:val="28"/>
        </w:rPr>
        <w:t xml:space="preserve"> </w:t>
      </w:r>
      <w:r w:rsidR="008E764C" w:rsidRPr="00F149EB">
        <w:rPr>
          <w:rFonts w:ascii="Times New Roman" w:hAnsi="Times New Roman" w:cs="Times New Roman"/>
          <w:sz w:val="28"/>
          <w:szCs w:val="28"/>
        </w:rPr>
        <w:t>увеличилось</w:t>
      </w:r>
      <w:r w:rsidRPr="00F149EB">
        <w:rPr>
          <w:rFonts w:ascii="Times New Roman" w:hAnsi="Times New Roman" w:cs="Times New Roman"/>
          <w:sz w:val="28"/>
          <w:szCs w:val="28"/>
        </w:rPr>
        <w:t xml:space="preserve"> на </w:t>
      </w:r>
      <w:r w:rsidR="007E4D86" w:rsidRPr="00F149EB">
        <w:rPr>
          <w:rFonts w:ascii="Times New Roman" w:hAnsi="Times New Roman" w:cs="Times New Roman"/>
          <w:sz w:val="28"/>
          <w:szCs w:val="28"/>
        </w:rPr>
        <w:t>114,63</w:t>
      </w:r>
      <w:r w:rsidR="008E764C" w:rsidRPr="00F149EB">
        <w:rPr>
          <w:rFonts w:ascii="Times New Roman" w:hAnsi="Times New Roman" w:cs="Times New Roman"/>
          <w:sz w:val="28"/>
          <w:szCs w:val="28"/>
        </w:rPr>
        <w:t>%.</w:t>
      </w:r>
    </w:p>
    <w:p w:rsidR="00262050" w:rsidRPr="00F149EB" w:rsidRDefault="00262050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0D9" w:rsidRPr="00F149EB" w:rsidRDefault="002B40D9" w:rsidP="00546380">
      <w:pPr>
        <w:pStyle w:val="ad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i/>
          <w:sz w:val="28"/>
          <w:szCs w:val="28"/>
          <w:u w:val="single"/>
        </w:rPr>
        <w:t>Показатель экономической эффективности расходования бюджетных средств</w:t>
      </w:r>
    </w:p>
    <w:p w:rsidR="0057578A" w:rsidRPr="00F149EB" w:rsidRDefault="0057578A" w:rsidP="0057578A">
      <w:pPr>
        <w:pStyle w:val="ad"/>
        <w:tabs>
          <w:tab w:val="left" w:pos="709"/>
          <w:tab w:val="left" w:pos="993"/>
        </w:tabs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2B40D9" w:rsidRPr="00F149EB" w:rsidRDefault="002B40D9" w:rsidP="0054638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Степень эффективности расходования бюджетных средств за</w:t>
      </w:r>
      <w:r w:rsidR="0047060F" w:rsidRPr="00F149EB">
        <w:rPr>
          <w:rFonts w:ascii="Times New Roman" w:hAnsi="Times New Roman" w:cs="Times New Roman"/>
          <w:sz w:val="28"/>
          <w:szCs w:val="28"/>
        </w:rPr>
        <w:t xml:space="preserve"> период с января по декабрь 2023</w:t>
      </w:r>
      <w:r w:rsidRPr="00F149EB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47060F" w:rsidRPr="00F149EB">
        <w:rPr>
          <w:rFonts w:ascii="Times New Roman" w:hAnsi="Times New Roman" w:cs="Times New Roman"/>
          <w:sz w:val="28"/>
          <w:szCs w:val="28"/>
        </w:rPr>
        <w:t>6</w:t>
      </w:r>
      <w:r w:rsidR="00262050" w:rsidRPr="00F149EB">
        <w:rPr>
          <w:rFonts w:ascii="Times New Roman" w:hAnsi="Times New Roman" w:cs="Times New Roman"/>
          <w:sz w:val="28"/>
          <w:szCs w:val="28"/>
        </w:rPr>
        <w:t>,</w:t>
      </w:r>
      <w:r w:rsidR="0047060F" w:rsidRPr="00F149EB">
        <w:rPr>
          <w:rFonts w:ascii="Times New Roman" w:hAnsi="Times New Roman" w:cs="Times New Roman"/>
          <w:sz w:val="28"/>
          <w:szCs w:val="28"/>
        </w:rPr>
        <w:t xml:space="preserve">16 </w:t>
      </w:r>
      <w:r w:rsidRPr="00F149EB">
        <w:rPr>
          <w:rFonts w:ascii="Times New Roman" w:hAnsi="Times New Roman" w:cs="Times New Roman"/>
          <w:sz w:val="28"/>
          <w:szCs w:val="28"/>
        </w:rPr>
        <w:t xml:space="preserve">%. </w:t>
      </w:r>
      <w:r w:rsidR="0047060F" w:rsidRPr="00F149EB">
        <w:rPr>
          <w:rFonts w:ascii="Times New Roman" w:hAnsi="Times New Roman" w:cs="Times New Roman"/>
          <w:sz w:val="28"/>
          <w:szCs w:val="28"/>
        </w:rPr>
        <w:t>П</w:t>
      </w:r>
      <w:r w:rsidRPr="00F149EB">
        <w:rPr>
          <w:rFonts w:ascii="Times New Roman" w:hAnsi="Times New Roman" w:cs="Times New Roman"/>
          <w:sz w:val="28"/>
          <w:szCs w:val="28"/>
        </w:rPr>
        <w:t xml:space="preserve">о существующей методике расчета степени эффективности расходования бюджетных средств, если показатель составляет </w:t>
      </w:r>
      <w:r w:rsidR="006E6584" w:rsidRPr="00F149EB">
        <w:rPr>
          <w:rFonts w:ascii="Times New Roman" w:hAnsi="Times New Roman" w:cs="Times New Roman"/>
          <w:sz w:val="28"/>
          <w:szCs w:val="28"/>
        </w:rPr>
        <w:t xml:space="preserve">от </w:t>
      </w:r>
      <w:r w:rsidR="0047060F" w:rsidRPr="00F149EB">
        <w:rPr>
          <w:rFonts w:ascii="Times New Roman" w:hAnsi="Times New Roman" w:cs="Times New Roman"/>
          <w:sz w:val="28"/>
          <w:szCs w:val="28"/>
        </w:rPr>
        <w:t>5</w:t>
      </w:r>
      <w:r w:rsidR="00A96E08" w:rsidRPr="00F149EB">
        <w:rPr>
          <w:rFonts w:ascii="Times New Roman" w:hAnsi="Times New Roman" w:cs="Times New Roman"/>
          <w:sz w:val="28"/>
          <w:szCs w:val="28"/>
        </w:rPr>
        <w:t>%</w:t>
      </w:r>
      <w:r w:rsidR="0047060F" w:rsidRPr="00F149EB">
        <w:rPr>
          <w:rFonts w:ascii="Times New Roman" w:hAnsi="Times New Roman" w:cs="Times New Roman"/>
          <w:sz w:val="28"/>
          <w:szCs w:val="28"/>
        </w:rPr>
        <w:t xml:space="preserve"> до 12%</w:t>
      </w:r>
      <w:r w:rsidR="00990674" w:rsidRPr="00F149EB">
        <w:rPr>
          <w:rFonts w:ascii="Times New Roman" w:hAnsi="Times New Roman" w:cs="Times New Roman"/>
          <w:sz w:val="28"/>
          <w:szCs w:val="28"/>
        </w:rPr>
        <w:t>,</w:t>
      </w:r>
      <w:r w:rsidRPr="00F149EB">
        <w:rPr>
          <w:rFonts w:ascii="Times New Roman" w:hAnsi="Times New Roman" w:cs="Times New Roman"/>
          <w:sz w:val="28"/>
          <w:szCs w:val="28"/>
        </w:rPr>
        <w:t xml:space="preserve"> оценка деятельности считается </w:t>
      </w:r>
      <w:r w:rsidR="0047060F" w:rsidRPr="00F149EB">
        <w:rPr>
          <w:rFonts w:ascii="Times New Roman" w:hAnsi="Times New Roman" w:cs="Times New Roman"/>
          <w:sz w:val="28"/>
          <w:szCs w:val="28"/>
        </w:rPr>
        <w:t>нормативн</w:t>
      </w:r>
      <w:r w:rsidR="00990674" w:rsidRPr="00F149EB">
        <w:rPr>
          <w:rFonts w:ascii="Times New Roman" w:hAnsi="Times New Roman" w:cs="Times New Roman"/>
          <w:sz w:val="28"/>
          <w:szCs w:val="28"/>
        </w:rPr>
        <w:t>о эффективной.</w:t>
      </w:r>
    </w:p>
    <w:p w:rsidR="002B40D9" w:rsidRPr="00F149EB" w:rsidRDefault="002B40D9" w:rsidP="0054638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Экономия по размещенным закупкам в разрезе способов определения поставщика (</w:t>
      </w:r>
      <w:r w:rsidR="00990674" w:rsidRPr="00F149EB">
        <w:rPr>
          <w:rFonts w:ascii="Times New Roman" w:hAnsi="Times New Roman" w:cs="Times New Roman"/>
          <w:sz w:val="28"/>
          <w:szCs w:val="28"/>
        </w:rPr>
        <w:t>подрядчика, исполнителя) за 202</w:t>
      </w:r>
      <w:r w:rsidR="007E4D86" w:rsidRPr="00F149EB">
        <w:rPr>
          <w:rFonts w:ascii="Times New Roman" w:hAnsi="Times New Roman" w:cs="Times New Roman"/>
          <w:sz w:val="28"/>
          <w:szCs w:val="28"/>
        </w:rPr>
        <w:t>3</w:t>
      </w:r>
      <w:r w:rsidRPr="00F149E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2880"/>
        <w:gridCol w:w="2300"/>
        <w:gridCol w:w="2060"/>
        <w:gridCol w:w="2120"/>
      </w:tblGrid>
      <w:tr w:rsidR="007E4D86" w:rsidRPr="00F149EB" w:rsidTr="00AA7F15">
        <w:trPr>
          <w:trHeight w:val="11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7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определения поставщиков (подрядчиков, исполнителей)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7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НМЦК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7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по протоколу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7E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</w:tr>
      <w:tr w:rsidR="007E4D86" w:rsidRPr="00F149EB" w:rsidTr="00AA7F1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7E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A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1 297 234 075,80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A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1 132 720 447,75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A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164 513 628,05</w:t>
            </w:r>
          </w:p>
        </w:tc>
      </w:tr>
      <w:tr w:rsidR="007E4D86" w:rsidRPr="00F149EB" w:rsidTr="00AA7F1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7E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A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5 779 366 013,91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A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5 537 971 031,13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A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241 394 982,78</w:t>
            </w:r>
          </w:p>
        </w:tc>
      </w:tr>
      <w:tr w:rsidR="007E4D86" w:rsidRPr="00F149EB" w:rsidTr="00AA7F1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7E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A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560 933 647,26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A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496 111 445,49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A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64 822 201,77</w:t>
            </w:r>
          </w:p>
        </w:tc>
      </w:tr>
      <w:tr w:rsidR="007E4D86" w:rsidRPr="00F149EB" w:rsidTr="00AA7F1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7E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A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7 637 533 736,97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A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7 166 802 924,37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D86" w:rsidRPr="00F149EB" w:rsidRDefault="007E4D86" w:rsidP="00A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4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470 730 812,60</w:t>
            </w:r>
          </w:p>
        </w:tc>
      </w:tr>
    </w:tbl>
    <w:p w:rsidR="007E4D86" w:rsidRPr="00F149EB" w:rsidRDefault="007E4D86" w:rsidP="0054638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40D9" w:rsidRPr="00F149EB" w:rsidRDefault="002B40D9" w:rsidP="005463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CF31D8" w:rsidRPr="00F149EB">
        <w:rPr>
          <w:rFonts w:ascii="Times New Roman" w:hAnsi="Times New Roman" w:cs="Times New Roman"/>
          <w:sz w:val="28"/>
          <w:szCs w:val="28"/>
        </w:rPr>
        <w:t xml:space="preserve">размещенными </w:t>
      </w:r>
      <w:r w:rsidR="004B21F7" w:rsidRPr="00F149EB">
        <w:rPr>
          <w:rFonts w:ascii="Times New Roman" w:hAnsi="Times New Roman" w:cs="Times New Roman"/>
          <w:sz w:val="28"/>
          <w:szCs w:val="28"/>
        </w:rPr>
        <w:t>закупками 202</w:t>
      </w:r>
      <w:r w:rsidR="00BE145A" w:rsidRPr="00F149EB">
        <w:rPr>
          <w:rFonts w:ascii="Times New Roman" w:hAnsi="Times New Roman" w:cs="Times New Roman"/>
          <w:sz w:val="28"/>
          <w:szCs w:val="28"/>
        </w:rPr>
        <w:t>2</w:t>
      </w:r>
      <w:r w:rsidR="004B21F7" w:rsidRPr="00F149EB">
        <w:rPr>
          <w:rFonts w:ascii="Times New Roman" w:hAnsi="Times New Roman" w:cs="Times New Roman"/>
          <w:sz w:val="28"/>
          <w:szCs w:val="28"/>
        </w:rPr>
        <w:t xml:space="preserve"> года общий объем закупок в 202</w:t>
      </w:r>
      <w:r w:rsidR="00BE145A" w:rsidRPr="00F149EB">
        <w:rPr>
          <w:rFonts w:ascii="Times New Roman" w:hAnsi="Times New Roman" w:cs="Times New Roman"/>
          <w:sz w:val="28"/>
          <w:szCs w:val="28"/>
        </w:rPr>
        <w:t>3</w:t>
      </w:r>
      <w:r w:rsidRPr="00F149E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E145A" w:rsidRPr="00F149EB">
        <w:rPr>
          <w:rFonts w:ascii="Times New Roman" w:hAnsi="Times New Roman" w:cs="Times New Roman"/>
          <w:sz w:val="28"/>
          <w:szCs w:val="28"/>
        </w:rPr>
        <w:t>сократился на 13,40</w:t>
      </w:r>
      <w:r w:rsidR="0005534F" w:rsidRPr="00F149EB">
        <w:rPr>
          <w:rFonts w:ascii="Times New Roman" w:hAnsi="Times New Roman" w:cs="Times New Roman"/>
          <w:sz w:val="28"/>
          <w:szCs w:val="28"/>
        </w:rPr>
        <w:t xml:space="preserve">%. </w:t>
      </w:r>
      <w:r w:rsidR="00366F30" w:rsidRPr="00F149EB">
        <w:rPr>
          <w:rFonts w:ascii="Times New Roman" w:hAnsi="Times New Roman" w:cs="Times New Roman"/>
          <w:sz w:val="28"/>
          <w:szCs w:val="28"/>
        </w:rPr>
        <w:t>При этом</w:t>
      </w:r>
      <w:r w:rsidR="00BE145A" w:rsidRPr="00F149EB">
        <w:rPr>
          <w:rFonts w:ascii="Times New Roman" w:hAnsi="Times New Roman" w:cs="Times New Roman"/>
          <w:sz w:val="28"/>
          <w:szCs w:val="28"/>
        </w:rPr>
        <w:t xml:space="preserve"> в 2023</w:t>
      </w:r>
      <w:r w:rsidRPr="00F149EB">
        <w:rPr>
          <w:rFonts w:ascii="Times New Roman" w:hAnsi="Times New Roman" w:cs="Times New Roman"/>
          <w:sz w:val="28"/>
          <w:szCs w:val="28"/>
        </w:rPr>
        <w:t xml:space="preserve"> году объем размещенных </w:t>
      </w:r>
      <w:r w:rsidR="004B21F7" w:rsidRPr="00F149EB">
        <w:rPr>
          <w:rFonts w:ascii="Times New Roman" w:hAnsi="Times New Roman" w:cs="Times New Roman"/>
          <w:sz w:val="28"/>
          <w:szCs w:val="28"/>
        </w:rPr>
        <w:t xml:space="preserve">конкурсов в электронной форме </w:t>
      </w:r>
      <w:r w:rsidR="00BE145A" w:rsidRPr="00F149EB">
        <w:rPr>
          <w:rFonts w:ascii="Times New Roman" w:hAnsi="Times New Roman" w:cs="Times New Roman"/>
          <w:sz w:val="28"/>
          <w:szCs w:val="28"/>
        </w:rPr>
        <w:t>сократился</w:t>
      </w:r>
      <w:r w:rsidRPr="00F149EB">
        <w:rPr>
          <w:rFonts w:ascii="Times New Roman" w:hAnsi="Times New Roman" w:cs="Times New Roman"/>
          <w:sz w:val="28"/>
          <w:szCs w:val="28"/>
        </w:rPr>
        <w:t xml:space="preserve"> по сравн</w:t>
      </w:r>
      <w:r w:rsidR="00325AF0" w:rsidRPr="00F149EB">
        <w:rPr>
          <w:rFonts w:ascii="Times New Roman" w:hAnsi="Times New Roman" w:cs="Times New Roman"/>
          <w:sz w:val="28"/>
          <w:szCs w:val="28"/>
        </w:rPr>
        <w:t xml:space="preserve">ению с аналогичным </w:t>
      </w:r>
      <w:r w:rsidR="004B21F7" w:rsidRPr="00F149EB">
        <w:rPr>
          <w:rFonts w:ascii="Times New Roman" w:hAnsi="Times New Roman" w:cs="Times New Roman"/>
          <w:sz w:val="28"/>
          <w:szCs w:val="28"/>
        </w:rPr>
        <w:t>периодом 202</w:t>
      </w:r>
      <w:r w:rsidR="00BE145A" w:rsidRPr="00F149EB">
        <w:rPr>
          <w:rFonts w:ascii="Times New Roman" w:hAnsi="Times New Roman" w:cs="Times New Roman"/>
          <w:sz w:val="28"/>
          <w:szCs w:val="28"/>
        </w:rPr>
        <w:t>3</w:t>
      </w:r>
      <w:r w:rsidR="00325AF0" w:rsidRPr="00F149E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E145A" w:rsidRPr="00F149EB">
        <w:rPr>
          <w:rFonts w:ascii="Times New Roman" w:hAnsi="Times New Roman" w:cs="Times New Roman"/>
          <w:sz w:val="28"/>
          <w:szCs w:val="28"/>
        </w:rPr>
        <w:t>на 21,67%</w:t>
      </w:r>
      <w:r w:rsidRPr="00F149EB">
        <w:rPr>
          <w:rFonts w:ascii="Times New Roman" w:hAnsi="Times New Roman" w:cs="Times New Roman"/>
          <w:sz w:val="28"/>
          <w:szCs w:val="28"/>
        </w:rPr>
        <w:t xml:space="preserve">, </w:t>
      </w:r>
      <w:r w:rsidR="00BE145A" w:rsidRPr="00F149EB">
        <w:rPr>
          <w:rFonts w:ascii="Times New Roman" w:hAnsi="Times New Roman" w:cs="Times New Roman"/>
          <w:sz w:val="28"/>
          <w:szCs w:val="28"/>
        </w:rPr>
        <w:t xml:space="preserve">а объем размещенных </w:t>
      </w:r>
      <w:r w:rsidR="00BE145A" w:rsidRPr="00F149EB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электронных аукционов увеличился на 1,03%, </w:t>
      </w:r>
      <w:r w:rsidR="004B21F7" w:rsidRPr="00F149EB">
        <w:rPr>
          <w:rFonts w:ascii="Times New Roman" w:hAnsi="Times New Roman" w:cs="Times New Roman"/>
          <w:sz w:val="28"/>
          <w:szCs w:val="28"/>
        </w:rPr>
        <w:t>запросов котировок в электронной форме</w:t>
      </w:r>
      <w:r w:rsidRPr="00F149EB">
        <w:rPr>
          <w:rFonts w:ascii="Times New Roman" w:hAnsi="Times New Roman" w:cs="Times New Roman"/>
          <w:sz w:val="28"/>
          <w:szCs w:val="28"/>
        </w:rPr>
        <w:t xml:space="preserve"> </w:t>
      </w:r>
      <w:r w:rsidR="00366F30" w:rsidRPr="00F149EB">
        <w:rPr>
          <w:rFonts w:ascii="Times New Roman" w:hAnsi="Times New Roman" w:cs="Times New Roman"/>
          <w:sz w:val="28"/>
          <w:szCs w:val="28"/>
        </w:rPr>
        <w:t xml:space="preserve">в </w:t>
      </w:r>
      <w:r w:rsidR="00BE145A" w:rsidRPr="00F149EB">
        <w:rPr>
          <w:rFonts w:ascii="Times New Roman" w:hAnsi="Times New Roman" w:cs="Times New Roman"/>
          <w:sz w:val="28"/>
          <w:szCs w:val="28"/>
        </w:rPr>
        <w:t>3,5 раза.</w:t>
      </w:r>
      <w:r w:rsidRPr="00F14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380" w:rsidRPr="00F149EB" w:rsidRDefault="00546380" w:rsidP="00546380">
      <w:pPr>
        <w:pStyle w:val="ad"/>
        <w:tabs>
          <w:tab w:val="left" w:pos="567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40D9" w:rsidRPr="00F149EB" w:rsidRDefault="002B40D9" w:rsidP="00546380">
      <w:pPr>
        <w:pStyle w:val="ad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49EB">
        <w:rPr>
          <w:rFonts w:ascii="Times New Roman" w:hAnsi="Times New Roman" w:cs="Times New Roman"/>
          <w:i/>
          <w:sz w:val="28"/>
          <w:szCs w:val="28"/>
          <w:u w:val="single"/>
        </w:rPr>
        <w:t>Показатель соблюдения законодательства при осуществлении закупки</w:t>
      </w:r>
    </w:p>
    <w:p w:rsidR="0057578A" w:rsidRPr="00F149EB" w:rsidRDefault="0057578A" w:rsidP="0057578A">
      <w:pPr>
        <w:pStyle w:val="ad"/>
        <w:tabs>
          <w:tab w:val="left" w:pos="567"/>
        </w:tabs>
        <w:spacing w:after="0" w:line="240" w:lineRule="auto"/>
        <w:ind w:left="709"/>
        <w:contextualSpacing w:val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40D9" w:rsidRPr="00F149EB" w:rsidRDefault="002B40D9" w:rsidP="0054638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Анализ соблюдения законодательства при осуществлении закупок по результатам 20</w:t>
      </w:r>
      <w:r w:rsidR="004B21F7" w:rsidRPr="00F149EB">
        <w:rPr>
          <w:rFonts w:ascii="Times New Roman" w:hAnsi="Times New Roman" w:cs="Times New Roman"/>
          <w:sz w:val="28"/>
          <w:szCs w:val="28"/>
        </w:rPr>
        <w:t>2</w:t>
      </w:r>
      <w:r w:rsidR="00BE145A" w:rsidRPr="00F149EB">
        <w:rPr>
          <w:rFonts w:ascii="Times New Roman" w:hAnsi="Times New Roman" w:cs="Times New Roman"/>
          <w:sz w:val="28"/>
          <w:szCs w:val="28"/>
        </w:rPr>
        <w:t>3</w:t>
      </w:r>
      <w:r w:rsidRPr="00F149EB">
        <w:rPr>
          <w:rFonts w:ascii="Times New Roman" w:hAnsi="Times New Roman" w:cs="Times New Roman"/>
          <w:sz w:val="28"/>
          <w:szCs w:val="28"/>
        </w:rPr>
        <w:t xml:space="preserve"> года показывает, что данный показатель находится на </w:t>
      </w:r>
      <w:r w:rsidR="00680CC4" w:rsidRPr="00F149EB">
        <w:rPr>
          <w:rFonts w:ascii="Times New Roman" w:hAnsi="Times New Roman" w:cs="Times New Roman"/>
          <w:sz w:val="28"/>
          <w:szCs w:val="28"/>
        </w:rPr>
        <w:t>эффективном уровне</w:t>
      </w:r>
      <w:r w:rsidRPr="00F149EB">
        <w:rPr>
          <w:rFonts w:ascii="Times New Roman" w:hAnsi="Times New Roman" w:cs="Times New Roman"/>
          <w:sz w:val="28"/>
          <w:szCs w:val="28"/>
        </w:rPr>
        <w:t>.</w:t>
      </w:r>
      <w:r w:rsidR="00B565A0" w:rsidRPr="00F14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0D9" w:rsidRPr="00F149EB" w:rsidRDefault="00546380" w:rsidP="0054638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С 01 января по 31 декабря 20</w:t>
      </w:r>
      <w:r w:rsidR="004B21F7" w:rsidRPr="00F149EB">
        <w:rPr>
          <w:rFonts w:ascii="Times New Roman" w:hAnsi="Times New Roman" w:cs="Times New Roman"/>
          <w:sz w:val="28"/>
          <w:szCs w:val="28"/>
        </w:rPr>
        <w:t>2</w:t>
      </w:r>
      <w:r w:rsidR="00BE145A" w:rsidRPr="00F149EB">
        <w:rPr>
          <w:rFonts w:ascii="Times New Roman" w:hAnsi="Times New Roman" w:cs="Times New Roman"/>
          <w:sz w:val="28"/>
          <w:szCs w:val="28"/>
        </w:rPr>
        <w:t>3</w:t>
      </w:r>
      <w:r w:rsidR="002B40D9" w:rsidRPr="00F149EB">
        <w:rPr>
          <w:rFonts w:ascii="Times New Roman" w:hAnsi="Times New Roman" w:cs="Times New Roman"/>
          <w:sz w:val="28"/>
          <w:szCs w:val="28"/>
        </w:rPr>
        <w:t xml:space="preserve"> г. было подано </w:t>
      </w:r>
      <w:r w:rsidR="00BE145A" w:rsidRPr="00F149EB">
        <w:rPr>
          <w:rFonts w:ascii="Times New Roman" w:hAnsi="Times New Roman" w:cs="Times New Roman"/>
          <w:sz w:val="28"/>
          <w:szCs w:val="28"/>
        </w:rPr>
        <w:t>49</w:t>
      </w:r>
      <w:r w:rsidR="002B40D9" w:rsidRPr="00F149EB">
        <w:rPr>
          <w:rFonts w:ascii="Times New Roman" w:hAnsi="Times New Roman" w:cs="Times New Roman"/>
          <w:sz w:val="28"/>
          <w:szCs w:val="28"/>
        </w:rPr>
        <w:t xml:space="preserve"> жалоб в Управление Федеральной антимонопольной службы по Республике Саха (Якутия) на действия/бездействия комиссии/заказчиков по определению поставщиков (подрядчиков, исполнителей) по городскому округу «город Якутск», из них:</w:t>
      </w:r>
    </w:p>
    <w:p w:rsidR="002B40D9" w:rsidRPr="00F149EB" w:rsidRDefault="00787561" w:rsidP="0054638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- </w:t>
      </w:r>
      <w:r w:rsidR="00BE145A" w:rsidRPr="00F149EB">
        <w:rPr>
          <w:rFonts w:ascii="Times New Roman" w:hAnsi="Times New Roman" w:cs="Times New Roman"/>
          <w:sz w:val="28"/>
          <w:szCs w:val="28"/>
        </w:rPr>
        <w:t>4</w:t>
      </w:r>
      <w:r w:rsidR="002B40D9" w:rsidRPr="00F149EB">
        <w:rPr>
          <w:rFonts w:ascii="Times New Roman" w:hAnsi="Times New Roman" w:cs="Times New Roman"/>
          <w:sz w:val="28"/>
          <w:szCs w:val="28"/>
        </w:rPr>
        <w:t xml:space="preserve"> отозваны заявителями;</w:t>
      </w:r>
    </w:p>
    <w:p w:rsidR="002B40D9" w:rsidRPr="00F149EB" w:rsidRDefault="006C3199" w:rsidP="0054638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- </w:t>
      </w:r>
      <w:r w:rsidR="00BE145A" w:rsidRPr="00F149EB">
        <w:rPr>
          <w:rFonts w:ascii="Times New Roman" w:hAnsi="Times New Roman" w:cs="Times New Roman"/>
          <w:sz w:val="28"/>
          <w:szCs w:val="28"/>
        </w:rPr>
        <w:t>33</w:t>
      </w:r>
      <w:r w:rsidR="002B40D9" w:rsidRPr="00F149EB">
        <w:rPr>
          <w:rFonts w:ascii="Times New Roman" w:hAnsi="Times New Roman" w:cs="Times New Roman"/>
          <w:sz w:val="28"/>
          <w:szCs w:val="28"/>
        </w:rPr>
        <w:t xml:space="preserve"> признаны необоснованными;</w:t>
      </w:r>
    </w:p>
    <w:p w:rsidR="002B40D9" w:rsidRPr="00F149EB" w:rsidRDefault="006C3199" w:rsidP="0054638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- 1</w:t>
      </w:r>
      <w:r w:rsidR="00BE145A" w:rsidRPr="00F149EB">
        <w:rPr>
          <w:rFonts w:ascii="Times New Roman" w:hAnsi="Times New Roman" w:cs="Times New Roman"/>
          <w:sz w:val="28"/>
          <w:szCs w:val="28"/>
        </w:rPr>
        <w:t>2</w:t>
      </w:r>
      <w:r w:rsidR="002B40D9" w:rsidRPr="00F149EB">
        <w:rPr>
          <w:rFonts w:ascii="Times New Roman" w:hAnsi="Times New Roman" w:cs="Times New Roman"/>
          <w:sz w:val="28"/>
          <w:szCs w:val="28"/>
        </w:rPr>
        <w:t xml:space="preserve"> признаны обоснованными.</w:t>
      </w:r>
    </w:p>
    <w:p w:rsidR="00B565A0" w:rsidRPr="00F149EB" w:rsidRDefault="00B565A0" w:rsidP="0054638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eastAsia="Times New Roman" w:hAnsi="Times New Roman" w:cs="Times New Roman"/>
          <w:sz w:val="28"/>
        </w:rPr>
        <w:t>При этом, Управлением во взаимодействии с Правовым департаментом обжалованы решения, признанные обоснованными, по которым судьями Арбитражного суда Республики Саха (Якутия) 7 решений УФАС РС(Я) признаны недействительными.</w:t>
      </w:r>
    </w:p>
    <w:p w:rsidR="002B40D9" w:rsidRPr="00F149EB" w:rsidRDefault="002B40D9" w:rsidP="0054638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543BE6" w:rsidRPr="00F149EB" w:rsidRDefault="00543BE6" w:rsidP="0054638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036" w:rsidRPr="00F149EB" w:rsidRDefault="00910036" w:rsidP="0054638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0D9" w:rsidRPr="00F149EB" w:rsidRDefault="002B40D9" w:rsidP="00546380">
      <w:pPr>
        <w:pStyle w:val="ad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49EB">
        <w:rPr>
          <w:rFonts w:ascii="Times New Roman" w:hAnsi="Times New Roman" w:cs="Times New Roman"/>
          <w:i/>
          <w:sz w:val="28"/>
          <w:szCs w:val="28"/>
          <w:u w:val="single"/>
        </w:rPr>
        <w:t>Показатели эффективности исполнения контрактов</w:t>
      </w:r>
    </w:p>
    <w:p w:rsidR="0057578A" w:rsidRPr="00F149EB" w:rsidRDefault="0057578A" w:rsidP="0057578A">
      <w:pPr>
        <w:pStyle w:val="ad"/>
        <w:tabs>
          <w:tab w:val="left" w:pos="567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40D9" w:rsidRPr="00F149EB" w:rsidRDefault="002B40D9" w:rsidP="009B5B80">
      <w:pPr>
        <w:pStyle w:val="ad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Показателями эффективности исполнения контракта являются - оценка эффект</w:t>
      </w:r>
      <w:r w:rsidR="009B5B80" w:rsidRPr="00F149EB">
        <w:rPr>
          <w:rFonts w:ascii="Times New Roman" w:hAnsi="Times New Roman" w:cs="Times New Roman"/>
          <w:sz w:val="28"/>
          <w:szCs w:val="28"/>
        </w:rPr>
        <w:t>ивности заключенных контрактов</w:t>
      </w:r>
      <w:r w:rsidR="00366F30" w:rsidRPr="00F149EB">
        <w:rPr>
          <w:rFonts w:ascii="Times New Roman" w:hAnsi="Times New Roman" w:cs="Times New Roman"/>
          <w:sz w:val="28"/>
          <w:szCs w:val="28"/>
        </w:rPr>
        <w:t xml:space="preserve"> и</w:t>
      </w:r>
      <w:r w:rsidRPr="00F149EB">
        <w:rPr>
          <w:rFonts w:ascii="Times New Roman" w:hAnsi="Times New Roman" w:cs="Times New Roman"/>
          <w:sz w:val="28"/>
          <w:szCs w:val="28"/>
        </w:rPr>
        <w:t xml:space="preserve"> удельный вес расторгнутых контрактов. По итогам анализа данных подкритериев показателя дана оценка</w:t>
      </w:r>
      <w:r w:rsidR="009B5B80" w:rsidRPr="00F149EB">
        <w:rPr>
          <w:rFonts w:ascii="Times New Roman" w:hAnsi="Times New Roman" w:cs="Times New Roman"/>
          <w:sz w:val="28"/>
          <w:szCs w:val="28"/>
        </w:rPr>
        <w:t xml:space="preserve"> по показателю эффективности заключенных контрактов – </w:t>
      </w:r>
      <w:r w:rsidR="002205C3" w:rsidRPr="00F149EB">
        <w:rPr>
          <w:rFonts w:ascii="Times New Roman" w:hAnsi="Times New Roman" w:cs="Times New Roman"/>
          <w:sz w:val="28"/>
          <w:szCs w:val="28"/>
        </w:rPr>
        <w:t>4</w:t>
      </w:r>
      <w:r w:rsidR="00C97C45" w:rsidRPr="00F149EB">
        <w:rPr>
          <w:rFonts w:ascii="Times New Roman" w:hAnsi="Times New Roman" w:cs="Times New Roman"/>
          <w:sz w:val="28"/>
          <w:szCs w:val="28"/>
        </w:rPr>
        <w:t>,</w:t>
      </w:r>
      <w:r w:rsidR="002205C3" w:rsidRPr="00F149EB">
        <w:rPr>
          <w:rFonts w:ascii="Times New Roman" w:hAnsi="Times New Roman" w:cs="Times New Roman"/>
          <w:sz w:val="28"/>
          <w:szCs w:val="28"/>
        </w:rPr>
        <w:t xml:space="preserve">7 </w:t>
      </w:r>
      <w:r w:rsidR="009B5B80" w:rsidRPr="00F149EB">
        <w:rPr>
          <w:rFonts w:ascii="Times New Roman" w:hAnsi="Times New Roman" w:cs="Times New Roman"/>
          <w:sz w:val="28"/>
          <w:szCs w:val="28"/>
        </w:rPr>
        <w:t>(</w:t>
      </w:r>
      <w:r w:rsidRPr="00F149EB">
        <w:rPr>
          <w:rFonts w:ascii="Times New Roman" w:hAnsi="Times New Roman" w:cs="Times New Roman"/>
          <w:sz w:val="28"/>
          <w:szCs w:val="28"/>
        </w:rPr>
        <w:t>эффективная</w:t>
      </w:r>
      <w:r w:rsidR="009B5B80" w:rsidRPr="00F149EB">
        <w:rPr>
          <w:rFonts w:ascii="Times New Roman" w:hAnsi="Times New Roman" w:cs="Times New Roman"/>
          <w:sz w:val="28"/>
          <w:szCs w:val="28"/>
        </w:rPr>
        <w:t>)</w:t>
      </w:r>
      <w:r w:rsidRPr="00F149EB">
        <w:rPr>
          <w:rFonts w:ascii="Times New Roman" w:hAnsi="Times New Roman" w:cs="Times New Roman"/>
          <w:sz w:val="28"/>
          <w:szCs w:val="28"/>
        </w:rPr>
        <w:t>.</w:t>
      </w:r>
      <w:r w:rsidR="009B5B80" w:rsidRPr="00F149EB">
        <w:rPr>
          <w:rFonts w:ascii="Times New Roman" w:hAnsi="Times New Roman" w:cs="Times New Roman"/>
          <w:sz w:val="28"/>
          <w:szCs w:val="28"/>
        </w:rPr>
        <w:t xml:space="preserve"> По показателю удельного веса расторгнутых контрактов – 0,</w:t>
      </w:r>
      <w:r w:rsidR="002205C3" w:rsidRPr="00F149EB">
        <w:rPr>
          <w:rFonts w:ascii="Times New Roman" w:hAnsi="Times New Roman" w:cs="Times New Roman"/>
          <w:sz w:val="28"/>
          <w:szCs w:val="28"/>
        </w:rPr>
        <w:t>1</w:t>
      </w:r>
      <w:r w:rsidR="00716394" w:rsidRPr="00F149EB">
        <w:rPr>
          <w:rFonts w:ascii="Times New Roman" w:hAnsi="Times New Roman" w:cs="Times New Roman"/>
          <w:sz w:val="28"/>
          <w:szCs w:val="28"/>
        </w:rPr>
        <w:t>0</w:t>
      </w:r>
      <w:r w:rsidR="002205C3" w:rsidRPr="00F149EB">
        <w:rPr>
          <w:rFonts w:ascii="Times New Roman" w:hAnsi="Times New Roman" w:cs="Times New Roman"/>
          <w:sz w:val="28"/>
          <w:szCs w:val="28"/>
        </w:rPr>
        <w:t xml:space="preserve"> </w:t>
      </w:r>
      <w:r w:rsidR="009B5B80" w:rsidRPr="00F149EB">
        <w:rPr>
          <w:rFonts w:ascii="Times New Roman" w:hAnsi="Times New Roman" w:cs="Times New Roman"/>
          <w:sz w:val="28"/>
          <w:szCs w:val="28"/>
        </w:rPr>
        <w:t>(</w:t>
      </w:r>
      <w:r w:rsidR="00716394" w:rsidRPr="00F149EB">
        <w:rPr>
          <w:rFonts w:ascii="Times New Roman" w:hAnsi="Times New Roman" w:cs="Times New Roman"/>
          <w:sz w:val="28"/>
          <w:szCs w:val="28"/>
        </w:rPr>
        <w:t xml:space="preserve">низко </w:t>
      </w:r>
      <w:r w:rsidR="009B5B80" w:rsidRPr="00F149EB">
        <w:rPr>
          <w:rFonts w:ascii="Times New Roman" w:hAnsi="Times New Roman" w:cs="Times New Roman"/>
          <w:sz w:val="28"/>
          <w:szCs w:val="28"/>
        </w:rPr>
        <w:t>эффективная).</w:t>
      </w:r>
      <w:r w:rsidRPr="00F14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BD9" w:rsidRPr="00F149EB" w:rsidRDefault="00BE145A" w:rsidP="00AA7F15">
      <w:pPr>
        <w:pStyle w:val="ad"/>
        <w:tabs>
          <w:tab w:val="left" w:pos="709"/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noProof/>
          <w:lang w:eastAsia="ru-RU"/>
        </w:rPr>
        <w:drawing>
          <wp:inline distT="0" distB="0" distL="0" distR="0" wp14:anchorId="7C5C4881" wp14:editId="086D3D30">
            <wp:extent cx="5964865" cy="2371060"/>
            <wp:effectExtent l="0" t="0" r="17145" b="1079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B40D9" w:rsidRPr="00F149EB" w:rsidRDefault="002B40D9" w:rsidP="00F32FC6">
      <w:pPr>
        <w:pStyle w:val="ad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49EB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Комплексная оценка эффективности деятельности муниципальных заказчиков и заказчиков городского округа «город Якутск»</w:t>
      </w:r>
    </w:p>
    <w:p w:rsidR="009B5B80" w:rsidRPr="00F149EB" w:rsidRDefault="009B5B80" w:rsidP="009B5B80">
      <w:pPr>
        <w:pStyle w:val="ad"/>
        <w:tabs>
          <w:tab w:val="left" w:pos="709"/>
          <w:tab w:val="left" w:pos="1134"/>
        </w:tabs>
        <w:spacing w:after="0" w:line="240" w:lineRule="auto"/>
        <w:ind w:left="709"/>
        <w:contextualSpacing w:val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40D9" w:rsidRPr="00F149EB" w:rsidRDefault="002B40D9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Показатель комплексной оценки эффективности деятельности заказчиков городского округа «город Якутск» рассчитывается путем суммирования значений показателя соблюдения законодательства при осуществлении закупок и показателей эффективности исполнения контракта. Оценка по данному показателю – нормативно эффективная. </w:t>
      </w:r>
    </w:p>
    <w:p w:rsidR="002B40D9" w:rsidRPr="00F149EB" w:rsidRDefault="002B40D9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Выводы о результатах мониторинга закупок для обеспечения муниципальных нужд за 2</w:t>
      </w:r>
      <w:r w:rsidR="006B4BD9" w:rsidRPr="00F149EB">
        <w:rPr>
          <w:rFonts w:ascii="Times New Roman" w:hAnsi="Times New Roman" w:cs="Times New Roman"/>
          <w:sz w:val="28"/>
          <w:szCs w:val="28"/>
        </w:rPr>
        <w:t>02</w:t>
      </w:r>
      <w:r w:rsidR="00AA7F15" w:rsidRPr="00F149EB">
        <w:rPr>
          <w:rFonts w:ascii="Times New Roman" w:hAnsi="Times New Roman" w:cs="Times New Roman"/>
          <w:sz w:val="28"/>
          <w:szCs w:val="28"/>
        </w:rPr>
        <w:t xml:space="preserve">3 </w:t>
      </w:r>
      <w:r w:rsidRPr="00F149EB">
        <w:rPr>
          <w:rFonts w:ascii="Times New Roman" w:hAnsi="Times New Roman" w:cs="Times New Roman"/>
          <w:sz w:val="28"/>
          <w:szCs w:val="28"/>
        </w:rPr>
        <w:t>год:</w:t>
      </w:r>
    </w:p>
    <w:p w:rsidR="002B40D9" w:rsidRPr="00F149EB" w:rsidRDefault="002B40D9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 xml:space="preserve">- преобладающим способом определения поставщиков (подрядчиков, исполнителей) при осуществлении закупок в городском округе «город Якутск» является </w:t>
      </w:r>
      <w:r w:rsidR="00AA7F15" w:rsidRPr="00F149EB">
        <w:rPr>
          <w:rFonts w:ascii="Times New Roman" w:hAnsi="Times New Roman" w:cs="Times New Roman"/>
          <w:sz w:val="28"/>
          <w:szCs w:val="28"/>
        </w:rPr>
        <w:t>запрос котировок в электронной форме</w:t>
      </w:r>
      <w:r w:rsidRPr="00F149EB">
        <w:rPr>
          <w:rFonts w:ascii="Times New Roman" w:hAnsi="Times New Roman" w:cs="Times New Roman"/>
          <w:sz w:val="28"/>
          <w:szCs w:val="28"/>
        </w:rPr>
        <w:t xml:space="preserve">. Доля </w:t>
      </w:r>
      <w:r w:rsidR="00AA7F15" w:rsidRPr="00F149EB">
        <w:rPr>
          <w:rFonts w:ascii="Times New Roman" w:hAnsi="Times New Roman" w:cs="Times New Roman"/>
          <w:sz w:val="28"/>
          <w:szCs w:val="28"/>
        </w:rPr>
        <w:t>запрос котировок</w:t>
      </w:r>
      <w:r w:rsidR="00B43363" w:rsidRPr="00F149E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A7F15" w:rsidRPr="00F149EB">
        <w:rPr>
          <w:rFonts w:ascii="Times New Roman" w:hAnsi="Times New Roman" w:cs="Times New Roman"/>
          <w:sz w:val="28"/>
          <w:szCs w:val="28"/>
        </w:rPr>
        <w:t>45,63</w:t>
      </w:r>
      <w:r w:rsidRPr="00F149EB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B43363" w:rsidRPr="00F149EB">
        <w:rPr>
          <w:rFonts w:ascii="Times New Roman" w:hAnsi="Times New Roman" w:cs="Times New Roman"/>
          <w:sz w:val="28"/>
          <w:szCs w:val="28"/>
        </w:rPr>
        <w:t>количества</w:t>
      </w:r>
      <w:r w:rsidRPr="00F149EB">
        <w:rPr>
          <w:rFonts w:ascii="Times New Roman" w:hAnsi="Times New Roman" w:cs="Times New Roman"/>
          <w:sz w:val="28"/>
          <w:szCs w:val="28"/>
        </w:rPr>
        <w:t xml:space="preserve"> размещенных в единой информационной системе извещений.</w:t>
      </w:r>
    </w:p>
    <w:p w:rsidR="002B40D9" w:rsidRPr="00F149EB" w:rsidRDefault="002B40D9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EB">
        <w:rPr>
          <w:rFonts w:ascii="Times New Roman" w:hAnsi="Times New Roman" w:cs="Times New Roman"/>
          <w:sz w:val="28"/>
          <w:szCs w:val="28"/>
        </w:rPr>
        <w:t>- 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Федерации, актуализации существующих нормативных правовых актов в сфере закупок товаров, работ, услуг, проведение семинаров по изменениям законодательства о контрактной системе для муниципальных заказчиков и предпринимателей.</w:t>
      </w:r>
    </w:p>
    <w:p w:rsidR="0077051C" w:rsidRPr="00F149EB" w:rsidRDefault="0077051C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51C" w:rsidRPr="00F149EB" w:rsidRDefault="0077051C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51C" w:rsidRPr="00F149EB" w:rsidRDefault="0077051C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51C" w:rsidRPr="003F31F0" w:rsidRDefault="00910036" w:rsidP="0077051C">
      <w:pPr>
        <w:tabs>
          <w:tab w:val="left" w:pos="567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9EB">
        <w:rPr>
          <w:rFonts w:ascii="Times New Roman" w:hAnsi="Times New Roman" w:cs="Times New Roman"/>
          <w:b/>
          <w:sz w:val="28"/>
          <w:szCs w:val="28"/>
        </w:rPr>
        <w:t>Н</w:t>
      </w:r>
      <w:r w:rsidR="0077051C" w:rsidRPr="00F149EB">
        <w:rPr>
          <w:rFonts w:ascii="Times New Roman" w:hAnsi="Times New Roman" w:cs="Times New Roman"/>
          <w:b/>
          <w:sz w:val="28"/>
          <w:szCs w:val="28"/>
        </w:rPr>
        <w:t xml:space="preserve">ачальник                                                                       </w:t>
      </w:r>
      <w:r w:rsidR="00366F30" w:rsidRPr="00F149EB">
        <w:rPr>
          <w:rFonts w:ascii="Times New Roman" w:hAnsi="Times New Roman" w:cs="Times New Roman"/>
          <w:b/>
          <w:sz w:val="28"/>
          <w:szCs w:val="28"/>
        </w:rPr>
        <w:t>С.</w:t>
      </w:r>
      <w:r w:rsidRPr="00F149EB">
        <w:rPr>
          <w:rFonts w:ascii="Times New Roman" w:hAnsi="Times New Roman" w:cs="Times New Roman"/>
          <w:b/>
          <w:sz w:val="28"/>
          <w:szCs w:val="28"/>
        </w:rPr>
        <w:t>А</w:t>
      </w:r>
      <w:r w:rsidR="0077051C" w:rsidRPr="00F149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149EB">
        <w:rPr>
          <w:rFonts w:ascii="Times New Roman" w:hAnsi="Times New Roman" w:cs="Times New Roman"/>
          <w:b/>
          <w:sz w:val="28"/>
          <w:szCs w:val="28"/>
        </w:rPr>
        <w:t>Антонова</w:t>
      </w:r>
      <w:bookmarkStart w:id="0" w:name="_GoBack"/>
      <w:bookmarkEnd w:id="0"/>
    </w:p>
    <w:p w:rsidR="0077051C" w:rsidRPr="00546380" w:rsidRDefault="0077051C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051C" w:rsidRPr="00546380" w:rsidSect="00022C71">
      <w:pgSz w:w="11906" w:h="16838" w:code="9"/>
      <w:pgMar w:top="794" w:right="849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2D2" w:rsidRDefault="006512D2" w:rsidP="00EE17CD">
      <w:pPr>
        <w:spacing w:after="0" w:line="240" w:lineRule="auto"/>
      </w:pPr>
      <w:r>
        <w:separator/>
      </w:r>
    </w:p>
  </w:endnote>
  <w:endnote w:type="continuationSeparator" w:id="0">
    <w:p w:rsidR="006512D2" w:rsidRDefault="006512D2" w:rsidP="00EE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2D2" w:rsidRDefault="006512D2" w:rsidP="00EE17CD">
      <w:pPr>
        <w:spacing w:after="0" w:line="240" w:lineRule="auto"/>
      </w:pPr>
      <w:r>
        <w:separator/>
      </w:r>
    </w:p>
  </w:footnote>
  <w:footnote w:type="continuationSeparator" w:id="0">
    <w:p w:rsidR="006512D2" w:rsidRDefault="006512D2" w:rsidP="00EE1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17BBF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3A5AB6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6D36BD"/>
    <w:multiLevelType w:val="multilevel"/>
    <w:tmpl w:val="490CB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D3"/>
    <w:rsid w:val="000109A0"/>
    <w:rsid w:val="00011938"/>
    <w:rsid w:val="00021DA4"/>
    <w:rsid w:val="00022C71"/>
    <w:rsid w:val="00030CFB"/>
    <w:rsid w:val="00035091"/>
    <w:rsid w:val="000543D2"/>
    <w:rsid w:val="0005534F"/>
    <w:rsid w:val="000600A2"/>
    <w:rsid w:val="00075C79"/>
    <w:rsid w:val="0008015F"/>
    <w:rsid w:val="000919E5"/>
    <w:rsid w:val="0009501D"/>
    <w:rsid w:val="000A3158"/>
    <w:rsid w:val="000A3943"/>
    <w:rsid w:val="000B0EA1"/>
    <w:rsid w:val="000C17B3"/>
    <w:rsid w:val="000D698C"/>
    <w:rsid w:val="000E37DE"/>
    <w:rsid w:val="001078B4"/>
    <w:rsid w:val="001428FB"/>
    <w:rsid w:val="0015051A"/>
    <w:rsid w:val="00174198"/>
    <w:rsid w:val="001827BE"/>
    <w:rsid w:val="001C1A88"/>
    <w:rsid w:val="001C4370"/>
    <w:rsid w:val="001F24AF"/>
    <w:rsid w:val="002177EA"/>
    <w:rsid w:val="002205C3"/>
    <w:rsid w:val="00262050"/>
    <w:rsid w:val="002728EC"/>
    <w:rsid w:val="00290EB4"/>
    <w:rsid w:val="0029629B"/>
    <w:rsid w:val="002B40D9"/>
    <w:rsid w:val="002D6C48"/>
    <w:rsid w:val="002F6E4A"/>
    <w:rsid w:val="00325AF0"/>
    <w:rsid w:val="00347A1C"/>
    <w:rsid w:val="003573F3"/>
    <w:rsid w:val="00360F6D"/>
    <w:rsid w:val="00366F30"/>
    <w:rsid w:val="003A2808"/>
    <w:rsid w:val="003A4426"/>
    <w:rsid w:val="003B38AA"/>
    <w:rsid w:val="003B7C87"/>
    <w:rsid w:val="003D0245"/>
    <w:rsid w:val="003E40A9"/>
    <w:rsid w:val="003F0505"/>
    <w:rsid w:val="003F3C8E"/>
    <w:rsid w:val="0042038F"/>
    <w:rsid w:val="0042715D"/>
    <w:rsid w:val="00450A4F"/>
    <w:rsid w:val="00465F36"/>
    <w:rsid w:val="0047060F"/>
    <w:rsid w:val="00493B8C"/>
    <w:rsid w:val="004A44D3"/>
    <w:rsid w:val="004B21F7"/>
    <w:rsid w:val="004E7F86"/>
    <w:rsid w:val="005256D7"/>
    <w:rsid w:val="0053347A"/>
    <w:rsid w:val="0053353E"/>
    <w:rsid w:val="00543BE6"/>
    <w:rsid w:val="00546380"/>
    <w:rsid w:val="0055250E"/>
    <w:rsid w:val="0057578A"/>
    <w:rsid w:val="00592651"/>
    <w:rsid w:val="00597F57"/>
    <w:rsid w:val="005A1D47"/>
    <w:rsid w:val="005F67A2"/>
    <w:rsid w:val="00621A4A"/>
    <w:rsid w:val="006512D2"/>
    <w:rsid w:val="00680CC4"/>
    <w:rsid w:val="0069265F"/>
    <w:rsid w:val="006A0301"/>
    <w:rsid w:val="006B4BD9"/>
    <w:rsid w:val="006C16BC"/>
    <w:rsid w:val="006C3199"/>
    <w:rsid w:val="006E6584"/>
    <w:rsid w:val="00716394"/>
    <w:rsid w:val="007201FD"/>
    <w:rsid w:val="00753974"/>
    <w:rsid w:val="00755C82"/>
    <w:rsid w:val="0077051C"/>
    <w:rsid w:val="00787561"/>
    <w:rsid w:val="007D700C"/>
    <w:rsid w:val="007E26FF"/>
    <w:rsid w:val="007E4D86"/>
    <w:rsid w:val="007F2A91"/>
    <w:rsid w:val="00814131"/>
    <w:rsid w:val="00847189"/>
    <w:rsid w:val="00853022"/>
    <w:rsid w:val="008615A0"/>
    <w:rsid w:val="008E448C"/>
    <w:rsid w:val="008E764C"/>
    <w:rsid w:val="008F107E"/>
    <w:rsid w:val="008F488F"/>
    <w:rsid w:val="00910036"/>
    <w:rsid w:val="00911AE1"/>
    <w:rsid w:val="00931042"/>
    <w:rsid w:val="00934ED2"/>
    <w:rsid w:val="00934EF5"/>
    <w:rsid w:val="00970235"/>
    <w:rsid w:val="00976735"/>
    <w:rsid w:val="00982668"/>
    <w:rsid w:val="00990674"/>
    <w:rsid w:val="009A7766"/>
    <w:rsid w:val="009B49C8"/>
    <w:rsid w:val="009B5B80"/>
    <w:rsid w:val="009B6D1E"/>
    <w:rsid w:val="00A01E1D"/>
    <w:rsid w:val="00A0335B"/>
    <w:rsid w:val="00A05545"/>
    <w:rsid w:val="00A202CA"/>
    <w:rsid w:val="00A36324"/>
    <w:rsid w:val="00A808C0"/>
    <w:rsid w:val="00A8643A"/>
    <w:rsid w:val="00A91B6D"/>
    <w:rsid w:val="00A96E08"/>
    <w:rsid w:val="00AA283F"/>
    <w:rsid w:val="00AA7F15"/>
    <w:rsid w:val="00AE3D8C"/>
    <w:rsid w:val="00B056B3"/>
    <w:rsid w:val="00B12050"/>
    <w:rsid w:val="00B43363"/>
    <w:rsid w:val="00B44A44"/>
    <w:rsid w:val="00B55F14"/>
    <w:rsid w:val="00B565A0"/>
    <w:rsid w:val="00B66A90"/>
    <w:rsid w:val="00B71699"/>
    <w:rsid w:val="00B86649"/>
    <w:rsid w:val="00B92080"/>
    <w:rsid w:val="00BA0152"/>
    <w:rsid w:val="00BA2E5F"/>
    <w:rsid w:val="00BA7056"/>
    <w:rsid w:val="00BB040A"/>
    <w:rsid w:val="00BC5A7D"/>
    <w:rsid w:val="00BE145A"/>
    <w:rsid w:val="00C12708"/>
    <w:rsid w:val="00C13A97"/>
    <w:rsid w:val="00C30CA8"/>
    <w:rsid w:val="00C97C45"/>
    <w:rsid w:val="00CD2941"/>
    <w:rsid w:val="00CD2BE3"/>
    <w:rsid w:val="00CF31D8"/>
    <w:rsid w:val="00D12D3D"/>
    <w:rsid w:val="00D4282A"/>
    <w:rsid w:val="00D8429D"/>
    <w:rsid w:val="00DA3B58"/>
    <w:rsid w:val="00DA5970"/>
    <w:rsid w:val="00DA5D5D"/>
    <w:rsid w:val="00DD33A2"/>
    <w:rsid w:val="00DD48A5"/>
    <w:rsid w:val="00DF2009"/>
    <w:rsid w:val="00DF340A"/>
    <w:rsid w:val="00E0626C"/>
    <w:rsid w:val="00E14FEE"/>
    <w:rsid w:val="00E24A6A"/>
    <w:rsid w:val="00E47D8C"/>
    <w:rsid w:val="00E61498"/>
    <w:rsid w:val="00E6790B"/>
    <w:rsid w:val="00E73E12"/>
    <w:rsid w:val="00E84BED"/>
    <w:rsid w:val="00EE17CD"/>
    <w:rsid w:val="00EE2F94"/>
    <w:rsid w:val="00EE47BA"/>
    <w:rsid w:val="00F014B4"/>
    <w:rsid w:val="00F149EB"/>
    <w:rsid w:val="00F27E7C"/>
    <w:rsid w:val="00F32FC6"/>
    <w:rsid w:val="00F33415"/>
    <w:rsid w:val="00F45F8D"/>
    <w:rsid w:val="00F52DA3"/>
    <w:rsid w:val="00F75270"/>
    <w:rsid w:val="00FA1337"/>
    <w:rsid w:val="00FE3B13"/>
    <w:rsid w:val="00FE4C6A"/>
    <w:rsid w:val="00FE5B2E"/>
    <w:rsid w:val="00FF080D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D74FD-BE7C-458D-8027-37A1B063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44D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A44D3"/>
  </w:style>
  <w:style w:type="paragraph" w:styleId="a5">
    <w:name w:val="header"/>
    <w:basedOn w:val="a"/>
    <w:link w:val="a6"/>
    <w:uiPriority w:val="99"/>
    <w:unhideWhenUsed/>
    <w:rsid w:val="00EE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17CD"/>
  </w:style>
  <w:style w:type="paragraph" w:styleId="a7">
    <w:name w:val="footer"/>
    <w:basedOn w:val="a"/>
    <w:link w:val="a8"/>
    <w:uiPriority w:val="99"/>
    <w:unhideWhenUsed/>
    <w:rsid w:val="00EE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17CD"/>
  </w:style>
  <w:style w:type="paragraph" w:styleId="a9">
    <w:name w:val="Balloon Text"/>
    <w:basedOn w:val="a"/>
    <w:link w:val="aa"/>
    <w:uiPriority w:val="99"/>
    <w:semiHidden/>
    <w:unhideWhenUsed/>
    <w:rsid w:val="00911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1AE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EE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2B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B40D9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06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739835C707F0A24BA8437FBB3D7367BF9E23FD574E4AD174D175680F7DE5DFA593322A69BD6C2986BE0D043DF359AFF6CE99E72C7C8A0C0Cz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lyshevaMI\Desktop\&#1054;&#1059;&#1080;&#1040;\&#1054;&#1090;&#1095;&#1077;&#1090;%20&#1052;&#1086;&#1085;&#1080;&#1090;&#1086;&#1088;&#1080;&#1085;&#1075;%20&#1085;&#1072;%20&#1089;&#1072;&#1081;&#1090;%202022\&#1050;&#1086;&#1087;&#1080;&#1103;%20&#1056;&#1040;&#1089;&#1095;&#1077;&#1090;&#1099;%20&#1076;&#1083;&#1103;%20&#1086;&#1090;&#1095;&#1077;&#1090;&#1072;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lyshevaMI\Desktop\&#1054;&#1059;&#1080;&#1040;\&#1054;&#1090;&#1095;&#1077;&#1090;%20&#1052;&#1086;&#1085;&#1080;&#1090;&#1086;&#1088;&#1080;&#1085;&#1075;%20&#1085;&#1072;%20&#1089;&#1072;&#1081;&#1090;%202022\&#1050;&#1086;&#1087;&#1080;&#1103;%20&#1056;&#1040;&#1089;&#1095;&#1077;&#1090;&#1099;%20&#1076;&#1083;&#1103;%20&#1086;&#1090;&#1095;&#1077;&#1090;&#1072;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lyshevaMI\Desktop\&#1054;&#1059;&#1080;&#1040;\&#1054;&#1090;&#1095;&#1077;&#1090;%20&#1052;&#1086;&#1085;&#1080;&#1090;&#1086;&#1088;&#1080;&#1085;&#1075;%20&#1085;&#1072;%20&#1089;&#1072;&#1081;&#1090;%202022\&#1050;&#1086;&#1087;&#1080;&#1103;%20&#1056;&#1040;&#1089;&#1095;&#1077;&#1090;&#1099;%20&#1076;&#1083;&#1103;%20&#1086;&#1090;&#1095;&#1077;&#1090;&#1072;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lyshevaMI\Desktop\&#1054;&#1059;&#1080;&#1040;\&#1054;&#1090;&#1095;&#1077;&#1090;%20&#1052;&#1086;&#1085;&#1080;&#1090;&#1086;&#1088;&#1080;&#1085;&#1075;%20&#1085;&#1072;%20&#1089;&#1072;&#1081;&#1090;%202022\&#1050;&#1086;&#1087;&#1080;&#1103;%20&#1056;&#1040;&#1089;&#1095;&#1077;&#1090;&#1099;%20&#1076;&#1083;&#1103;%20&#1086;&#1090;&#1095;&#1077;&#1090;&#1072;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Экономия бюджетных средств по проведенным процедурам, в млн. руб.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Лист1!$L$4:$M$4</c:f>
              <c:strCache>
                <c:ptCount val="2"/>
                <c:pt idx="0">
                  <c:v> 2022 г.</c:v>
                </c:pt>
                <c:pt idx="1">
                  <c:v> 2023 г.</c:v>
                </c:pt>
              </c:strCache>
            </c:strRef>
          </c:cat>
          <c:val>
            <c:numRef>
              <c:f>Лист1!$L$6:$M$6</c:f>
              <c:numCache>
                <c:formatCode>_(* #,##0.00_);_(* \(#,##0.00\);_(* "-"??_);_(@_)</c:formatCode>
                <c:ptCount val="2"/>
                <c:pt idx="0">
                  <c:v>317.60000000000002</c:v>
                </c:pt>
                <c:pt idx="1">
                  <c:v>470.73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3A-4951-B21A-3559120955C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5623936"/>
        <c:axId val="195718064"/>
      </c:barChart>
      <c:catAx>
        <c:axId val="19562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718064"/>
        <c:crosses val="autoZero"/>
        <c:auto val="1"/>
        <c:lblAlgn val="ctr"/>
        <c:lblOffset val="100"/>
        <c:noMultiLvlLbl val="0"/>
      </c:catAx>
      <c:valAx>
        <c:axId val="19571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62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Структура закупок в разрезе способов определения поставщика (подрядчика, исполнителя) , млн.руб.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239626600073048"/>
          <c:y val="0.22433697208303507"/>
          <c:w val="0.42802605984931497"/>
          <c:h val="0.751477570985444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256-487C-9D21-33A82A99DE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256-487C-9D21-33A82A99DE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256-487C-9D21-33A82A99DE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256-487C-9D21-33A82A99DE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256-487C-9D21-33A82A99DE50}"/>
              </c:ext>
            </c:extLst>
          </c:dPt>
          <c:dLbls>
            <c:dLbl>
              <c:idx val="0"/>
              <c:layout>
                <c:manualLayout>
                  <c:x val="-4.8047634822346239E-3"/>
                  <c:y val="3.2964686232402771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56-487C-9D21-33A82A99DE50}"/>
                </c:ext>
              </c:extLst>
            </c:dLbl>
            <c:dLbl>
              <c:idx val="1"/>
              <c:layout>
                <c:manualLayout>
                  <c:x val="0.16759676885049563"/>
                  <c:y val="-0.144451204963016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56-487C-9D21-33A82A99DE50}"/>
                </c:ext>
              </c:extLst>
            </c:dLbl>
            <c:dLbl>
              <c:idx val="2"/>
              <c:layout>
                <c:manualLayout>
                  <c:x val="-2.8674328330318033E-3"/>
                  <c:y val="1.8018074445239729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56-487C-9D21-33A82A99DE50}"/>
                </c:ext>
              </c:extLst>
            </c:dLbl>
            <c:dLbl>
              <c:idx val="3"/>
              <c:layout>
                <c:manualLayout>
                  <c:x val="2.0779756899319622E-2"/>
                  <c:y val="-1.1488904795991409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256-487C-9D21-33A82A99DE50}"/>
                </c:ext>
              </c:extLst>
            </c:dLbl>
            <c:dLbl>
              <c:idx val="4"/>
              <c:layout>
                <c:manualLayout>
                  <c:x val="5.1779935275080909E-2"/>
                  <c:y val="-3.787878787878788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256-487C-9D21-33A82A99DE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Лист1!$G$36:$G$40</c:f>
              <c:strCache>
                <c:ptCount val="5"/>
                <c:pt idx="0">
                  <c:v>Электронный аукцион</c:v>
                </c:pt>
                <c:pt idx="1">
                  <c:v>Открытый конкурс</c:v>
                </c:pt>
                <c:pt idx="2">
                  <c:v>Запрос котировок</c:v>
                </c:pt>
                <c:pt idx="3">
                  <c:v>Закупки у единственного поставщика</c:v>
                </c:pt>
                <c:pt idx="4">
                  <c:v>Закупки малого объема</c:v>
                </c:pt>
              </c:strCache>
            </c:strRef>
          </c:cat>
          <c:val>
            <c:numRef>
              <c:f>Лист1!$H$36:$H$40</c:f>
              <c:numCache>
                <c:formatCode>_(* #,##0.00_);_(* \(#,##0.00\);_(* "-"??_);_(@_)</c:formatCode>
                <c:ptCount val="5"/>
                <c:pt idx="0">
                  <c:v>1297.2340758000005</c:v>
                </c:pt>
                <c:pt idx="1">
                  <c:v>5779.3660139100002</c:v>
                </c:pt>
                <c:pt idx="2">
                  <c:v>560.93364725999959</c:v>
                </c:pt>
                <c:pt idx="3">
                  <c:v>1724.1515053800001</c:v>
                </c:pt>
                <c:pt idx="4">
                  <c:v>1571.1858293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256-487C-9D21-33A82A99DE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49762590355818"/>
          <c:y val="0.32042889525172991"/>
          <c:w val="0.29207875714564807"/>
          <c:h val="0.48732402767835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 Количество размещенных закупок за 2021-2023 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Лист1!$A$65</c:f>
              <c:strCache>
                <c:ptCount val="1"/>
                <c:pt idx="0">
                  <c:v>Электронный аукцион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Лист1!$B$64:$D$64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Лист1!$B$65:$D$65</c:f>
              <c:numCache>
                <c:formatCode>General</c:formatCode>
                <c:ptCount val="3"/>
                <c:pt idx="0">
                  <c:v>593</c:v>
                </c:pt>
                <c:pt idx="1">
                  <c:v>633</c:v>
                </c:pt>
                <c:pt idx="2">
                  <c:v>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9B-4701-B57F-1EF16CDA7B59}"/>
            </c:ext>
          </c:extLst>
        </c:ser>
        <c:ser>
          <c:idx val="1"/>
          <c:order val="1"/>
          <c:tx>
            <c:strRef>
              <c:f>Лист1!$A$66</c:f>
              <c:strCache>
                <c:ptCount val="1"/>
                <c:pt idx="0">
                  <c:v>Открытый конкурс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Лист1!$B$64:$D$64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Лист1!$B$66:$D$66</c:f>
              <c:numCache>
                <c:formatCode>General</c:formatCode>
                <c:ptCount val="3"/>
                <c:pt idx="0">
                  <c:v>114</c:v>
                </c:pt>
                <c:pt idx="1">
                  <c:v>158</c:v>
                </c:pt>
                <c:pt idx="2">
                  <c:v>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9B-4701-B57F-1EF16CDA7B59}"/>
            </c:ext>
          </c:extLst>
        </c:ser>
        <c:ser>
          <c:idx val="2"/>
          <c:order val="2"/>
          <c:tx>
            <c:strRef>
              <c:f>Лист1!$A$67</c:f>
              <c:strCache>
                <c:ptCount val="1"/>
                <c:pt idx="0">
                  <c:v>Запрос котировок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Лист1!$B$64:$D$64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Лист1!$B$67:$D$67</c:f>
              <c:numCache>
                <c:formatCode>General</c:formatCode>
                <c:ptCount val="3"/>
                <c:pt idx="0">
                  <c:v>128</c:v>
                </c:pt>
                <c:pt idx="1">
                  <c:v>294</c:v>
                </c:pt>
                <c:pt idx="2">
                  <c:v>631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9B-4701-B57F-1EF16CDA7B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48981647"/>
        <c:axId val="348982063"/>
        <c:axId val="0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Лист1!$B$64:$D$64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Лист1!$A$63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639B-4701-B57F-1EF16CDA7B59}"/>
                  </c:ext>
                </c:extLst>
              </c15:ser>
            </c15:filteredBarSeries>
          </c:ext>
        </c:extLst>
      </c:bar3DChart>
      <c:catAx>
        <c:axId val="34898164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8982063"/>
        <c:crosses val="autoZero"/>
        <c:auto val="1"/>
        <c:lblAlgn val="ctr"/>
        <c:lblOffset val="100"/>
        <c:noMultiLvlLbl val="0"/>
      </c:catAx>
      <c:valAx>
        <c:axId val="348982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898164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Количество расторгнутых контрактов, шт.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Лист1!$A$30:$A$32</c:f>
              <c:strCache>
                <c:ptCount val="3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Лист1!$B$30:$B$32</c:f>
              <c:numCache>
                <c:formatCode>General</c:formatCode>
                <c:ptCount val="3"/>
                <c:pt idx="0">
                  <c:v>369</c:v>
                </c:pt>
                <c:pt idx="1">
                  <c:v>140</c:v>
                </c:pt>
                <c:pt idx="2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99-42B3-BCAD-1B224A0FEF5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6246736"/>
        <c:axId val="196226904"/>
      </c:barChart>
      <c:catAx>
        <c:axId val="19624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226904"/>
        <c:crosses val="autoZero"/>
        <c:auto val="1"/>
        <c:lblAlgn val="ctr"/>
        <c:lblOffset val="100"/>
        <c:noMultiLvlLbl val="0"/>
      </c:catAx>
      <c:valAx>
        <c:axId val="196226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24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М. Сивцева</dc:creator>
  <cp:keywords/>
  <dc:description/>
  <cp:lastModifiedBy>Мария И. Малышева</cp:lastModifiedBy>
  <cp:revision>3</cp:revision>
  <cp:lastPrinted>2024-02-19T07:05:00Z</cp:lastPrinted>
  <dcterms:created xsi:type="dcterms:W3CDTF">2024-02-19T07:05:00Z</dcterms:created>
  <dcterms:modified xsi:type="dcterms:W3CDTF">2024-02-19T07:11:00Z</dcterms:modified>
</cp:coreProperties>
</file>