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4F" w:rsidRPr="00DF340A" w:rsidRDefault="00D12D3D" w:rsidP="0054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40A">
        <w:rPr>
          <w:rFonts w:ascii="Times New Roman" w:hAnsi="Times New Roman" w:cs="Times New Roman"/>
          <w:b/>
          <w:sz w:val="28"/>
          <w:szCs w:val="28"/>
        </w:rPr>
        <w:t>Отчет о результатах мониторинга закупок для обеспечения муниципальных нужд г</w:t>
      </w:r>
      <w:r w:rsidR="00450A4F" w:rsidRPr="00DF340A">
        <w:rPr>
          <w:rFonts w:ascii="Times New Roman" w:hAnsi="Times New Roman" w:cs="Times New Roman"/>
          <w:b/>
          <w:sz w:val="28"/>
          <w:szCs w:val="28"/>
        </w:rPr>
        <w:t xml:space="preserve">ородского округа «город Якутск» </w:t>
      </w:r>
    </w:p>
    <w:p w:rsidR="004A44D3" w:rsidRPr="00DF340A" w:rsidRDefault="006A0301" w:rsidP="0054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40A">
        <w:rPr>
          <w:rFonts w:ascii="Times New Roman" w:hAnsi="Times New Roman" w:cs="Times New Roman"/>
          <w:b/>
          <w:sz w:val="28"/>
          <w:szCs w:val="28"/>
        </w:rPr>
        <w:t>за 2022</w:t>
      </w:r>
      <w:r w:rsidR="00D12D3D" w:rsidRPr="00DF340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44D3" w:rsidRPr="00DF340A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4A44D3" w:rsidRPr="00DF340A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4A44D3" w:rsidRPr="00DF340A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4A44D3" w:rsidRPr="00DF340A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4A44D3" w:rsidRPr="00DF340A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4A44D3" w:rsidRPr="00DF340A" w:rsidRDefault="004A44D3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Управление муниципальных закупок размещает закупки за </w:t>
      </w:r>
      <w:r w:rsidR="00E24A6A" w:rsidRPr="00DF340A">
        <w:rPr>
          <w:rFonts w:ascii="Times New Roman" w:hAnsi="Times New Roman" w:cs="Times New Roman"/>
          <w:sz w:val="28"/>
          <w:szCs w:val="28"/>
        </w:rPr>
        <w:t>191</w:t>
      </w:r>
      <w:r w:rsidRPr="00DF340A">
        <w:rPr>
          <w:rFonts w:ascii="Times New Roman" w:hAnsi="Times New Roman" w:cs="Times New Roman"/>
          <w:sz w:val="28"/>
          <w:szCs w:val="28"/>
        </w:rPr>
        <w:t xml:space="preserve"> заказчиков городского округа «город Якутск».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 структурные подразделения Окружной администрации города Якутска.</w:t>
      </w:r>
    </w:p>
    <w:p w:rsidR="004A44D3" w:rsidRPr="00DF340A" w:rsidRDefault="00F45F8D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В соответствии с постановлением Окружной администрацией города Якутска от 27 октября 2015 года № 279п «О проведении мониторинга закупок для обеспечения муниципальных нужд городского округа «город Якутск»», постановлением от 07 апреля 2017 года № 98п «О внесении изменений в постановление Окружной администрации города Якутска от 27.10.2015 № 279п», Управлением муниципальных закупок проведена комплексная оценка эффективности деятельности заказчиков городско</w:t>
      </w:r>
      <w:r w:rsidR="001827BE" w:rsidRPr="00DF340A">
        <w:rPr>
          <w:rFonts w:ascii="Times New Roman" w:hAnsi="Times New Roman" w:cs="Times New Roman"/>
          <w:sz w:val="28"/>
          <w:szCs w:val="28"/>
        </w:rPr>
        <w:t>го округа «город Якутск» за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597F57" w:rsidRPr="00DF340A" w:rsidRDefault="00597F57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F57" w:rsidRPr="00DF340A" w:rsidRDefault="00597F57" w:rsidP="00597F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noProof/>
          <w:lang w:eastAsia="ru-RU"/>
        </w:rPr>
        <w:drawing>
          <wp:inline distT="0" distB="0" distL="0" distR="0" wp14:anchorId="405A0E24" wp14:editId="4F8EE984">
            <wp:extent cx="5941060" cy="3322955"/>
            <wp:effectExtent l="0" t="0" r="254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038F" w:rsidRPr="00DF340A" w:rsidRDefault="0042038F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E5F" w:rsidRPr="00DF340A" w:rsidRDefault="00BA2E5F" w:rsidP="00BA2E5F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lastRenderedPageBreak/>
        <w:t>Полученные по результатам монитор</w:t>
      </w:r>
      <w:r w:rsidR="00FE3B13" w:rsidRPr="00DF340A">
        <w:rPr>
          <w:rFonts w:ascii="Times New Roman" w:hAnsi="Times New Roman" w:cs="Times New Roman"/>
          <w:sz w:val="28"/>
          <w:szCs w:val="28"/>
        </w:rPr>
        <w:t>инга сведения свидетельствуют о</w:t>
      </w:r>
      <w:r w:rsidR="00597F57" w:rsidRPr="00DF340A">
        <w:rPr>
          <w:rFonts w:ascii="Times New Roman" w:hAnsi="Times New Roman" w:cs="Times New Roman"/>
          <w:sz w:val="28"/>
          <w:szCs w:val="28"/>
        </w:rPr>
        <w:t>б</w:t>
      </w:r>
      <w:r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597F57" w:rsidRPr="00DF340A">
        <w:rPr>
          <w:rFonts w:ascii="Times New Roman" w:hAnsi="Times New Roman" w:cs="Times New Roman"/>
          <w:sz w:val="28"/>
          <w:szCs w:val="28"/>
        </w:rPr>
        <w:t>увеличении</w:t>
      </w:r>
      <w:r w:rsidRPr="00DF340A">
        <w:rPr>
          <w:rFonts w:ascii="Times New Roman" w:hAnsi="Times New Roman" w:cs="Times New Roman"/>
          <w:sz w:val="28"/>
          <w:szCs w:val="28"/>
        </w:rPr>
        <w:t xml:space="preserve"> условной экономии денежных средств в 202</w:t>
      </w:r>
      <w:r w:rsidR="00597F57" w:rsidRPr="00DF340A">
        <w:rPr>
          <w:rFonts w:ascii="Times New Roman" w:hAnsi="Times New Roman" w:cs="Times New Roman"/>
          <w:sz w:val="28"/>
          <w:szCs w:val="28"/>
        </w:rPr>
        <w:t>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году по сравнению с аналогичным периодом прошлого года</w:t>
      </w:r>
      <w:r w:rsidR="00FE3B13" w:rsidRPr="00DF340A">
        <w:rPr>
          <w:rFonts w:ascii="Times New Roman" w:hAnsi="Times New Roman" w:cs="Times New Roman"/>
          <w:sz w:val="28"/>
          <w:szCs w:val="28"/>
        </w:rPr>
        <w:t xml:space="preserve"> на </w:t>
      </w:r>
      <w:r w:rsidR="002728EC" w:rsidRPr="00DF340A">
        <w:rPr>
          <w:rFonts w:ascii="Times New Roman" w:hAnsi="Times New Roman" w:cs="Times New Roman"/>
          <w:sz w:val="28"/>
          <w:szCs w:val="28"/>
        </w:rPr>
        <w:t>102</w:t>
      </w:r>
      <w:r w:rsidR="00FE3B13" w:rsidRPr="00DF340A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Pr="00DF34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EB4" w:rsidRPr="00DF340A" w:rsidRDefault="00290EB4" w:rsidP="00BA2E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</w:t>
      </w:r>
      <w:r w:rsidR="00814131" w:rsidRPr="00DF340A">
        <w:rPr>
          <w:rFonts w:ascii="Times New Roman" w:hAnsi="Times New Roman" w:cs="Times New Roman"/>
          <w:sz w:val="28"/>
          <w:szCs w:val="28"/>
        </w:rPr>
        <w:t>анизаций в объеме не менее чем двадцать пять</w:t>
      </w:r>
      <w:r w:rsidRPr="00DF340A">
        <w:rPr>
          <w:rFonts w:ascii="Times New Roman" w:hAnsi="Times New Roman" w:cs="Times New Roman"/>
          <w:sz w:val="28"/>
          <w:szCs w:val="28"/>
        </w:rPr>
        <w:t xml:space="preserve"> процентов совокупного годового объема закупок. Муниципальные заказчики городского округа «город Якутск» самостоятельно определяют виды товаров, работ, услуг, которые могут поставить, выполнить, оказать субъекты малого предпринимательства, социально ориентированные некоммерческие организации. </w:t>
      </w:r>
    </w:p>
    <w:p w:rsidR="00E0626C" w:rsidRPr="00DF340A" w:rsidRDefault="00814131" w:rsidP="00E062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В 2022</w:t>
      </w:r>
      <w:r w:rsidR="00290EB4" w:rsidRPr="00DF340A">
        <w:rPr>
          <w:rFonts w:ascii="Times New Roman" w:hAnsi="Times New Roman" w:cs="Times New Roman"/>
          <w:sz w:val="28"/>
          <w:szCs w:val="28"/>
        </w:rPr>
        <w:t xml:space="preserve"> году опубликовано муниципальных закупок для субъектов малого предпринимательства, социально ориентированных некоммерческих организаций на </w:t>
      </w:r>
      <w:r w:rsidR="0042715D" w:rsidRPr="00DF340A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0626C" w:rsidRPr="00DF340A">
        <w:rPr>
          <w:rFonts w:ascii="Times New Roman" w:hAnsi="Times New Roman" w:cs="Times New Roman"/>
          <w:sz w:val="28"/>
          <w:szCs w:val="28"/>
        </w:rPr>
        <w:t>1 652,76</w:t>
      </w:r>
      <w:r w:rsidR="00465F36"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FE3B13" w:rsidRPr="00DF340A">
        <w:rPr>
          <w:rFonts w:ascii="Times New Roman" w:hAnsi="Times New Roman" w:cs="Times New Roman"/>
          <w:sz w:val="28"/>
          <w:szCs w:val="28"/>
        </w:rPr>
        <w:t>млн. руб.</w:t>
      </w:r>
      <w:r w:rsidR="0042715D" w:rsidRPr="00DF340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0626C" w:rsidRPr="00DF340A">
        <w:rPr>
          <w:rFonts w:ascii="Times New Roman" w:hAnsi="Times New Roman" w:cs="Times New Roman"/>
          <w:sz w:val="28"/>
          <w:szCs w:val="28"/>
        </w:rPr>
        <w:t>38,54</w:t>
      </w:r>
      <w:r w:rsidR="00290EB4" w:rsidRPr="00DF340A">
        <w:rPr>
          <w:rFonts w:ascii="Times New Roman" w:hAnsi="Times New Roman" w:cs="Times New Roman"/>
          <w:sz w:val="28"/>
          <w:szCs w:val="28"/>
        </w:rPr>
        <w:t>%</w:t>
      </w:r>
      <w:r w:rsidR="00BA2E5F" w:rsidRPr="00DF340A">
        <w:rPr>
          <w:rFonts w:ascii="Times New Roman" w:hAnsi="Times New Roman" w:cs="Times New Roman"/>
          <w:sz w:val="28"/>
          <w:szCs w:val="28"/>
        </w:rPr>
        <w:t xml:space="preserve"> от </w:t>
      </w:r>
      <w:r w:rsidR="00E0626C" w:rsidRPr="00DF340A">
        <w:rPr>
          <w:rFonts w:ascii="Times New Roman" w:hAnsi="Times New Roman" w:cs="Times New Roman"/>
          <w:sz w:val="28"/>
          <w:szCs w:val="28"/>
        </w:rPr>
        <w:t xml:space="preserve">совокупного годового объема закупок, рассчитанного с учетом </w:t>
      </w:r>
      <w:hyperlink r:id="rId8" w:history="1">
        <w:r w:rsidR="00E0626C" w:rsidRPr="00DF340A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 w:rsidR="00E0626C" w:rsidRPr="00DF340A">
        <w:rPr>
          <w:rFonts w:ascii="Times New Roman" w:hAnsi="Times New Roman" w:cs="Times New Roman"/>
          <w:sz w:val="28"/>
          <w:szCs w:val="28"/>
        </w:rPr>
        <w:t xml:space="preserve"> статьи 30 Федерального закона №44-ФЗ «О контрактной системе в сфере закупок товаров, работ, услуг для обеспечения государственных и муниципальных нужд».</w:t>
      </w:r>
    </w:p>
    <w:p w:rsidR="00E0626C" w:rsidRPr="00DF340A" w:rsidRDefault="00E0626C" w:rsidP="00E06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EB4" w:rsidRPr="00DF340A" w:rsidRDefault="00290EB4" w:rsidP="0054638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0A4F" w:rsidRPr="00DF340A" w:rsidRDefault="00450A4F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D9" w:rsidRPr="00DF340A" w:rsidRDefault="002B40D9" w:rsidP="0054638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40A">
        <w:rPr>
          <w:rFonts w:ascii="Times New Roman" w:hAnsi="Times New Roman" w:cs="Times New Roman"/>
          <w:i/>
          <w:sz w:val="28"/>
          <w:szCs w:val="28"/>
          <w:u w:val="single"/>
        </w:rPr>
        <w:t>Показатели планирования закупок</w:t>
      </w:r>
    </w:p>
    <w:p w:rsidR="0057578A" w:rsidRPr="00DF340A" w:rsidRDefault="0057578A" w:rsidP="0057578A">
      <w:pPr>
        <w:pStyle w:val="ad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2B40D9" w:rsidRPr="00DF340A" w:rsidRDefault="002B40D9" w:rsidP="005463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Анализ планиров</w:t>
      </w:r>
      <w:r w:rsidR="00E0626C" w:rsidRPr="00DF340A">
        <w:rPr>
          <w:rFonts w:ascii="Times New Roman" w:hAnsi="Times New Roman" w:cs="Times New Roman"/>
          <w:sz w:val="28"/>
          <w:szCs w:val="28"/>
        </w:rPr>
        <w:t>ания закупок по результатам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года показывает, что данный показатель находится </w:t>
      </w:r>
      <w:r w:rsidR="00680CC4" w:rsidRPr="00DF340A">
        <w:rPr>
          <w:rFonts w:ascii="Times New Roman" w:hAnsi="Times New Roman" w:cs="Times New Roman"/>
          <w:sz w:val="28"/>
          <w:szCs w:val="28"/>
        </w:rPr>
        <w:t xml:space="preserve">на нормативно </w:t>
      </w:r>
      <w:r w:rsidR="001C4370" w:rsidRPr="00DF340A">
        <w:rPr>
          <w:rFonts w:ascii="Times New Roman" w:hAnsi="Times New Roman" w:cs="Times New Roman"/>
          <w:sz w:val="28"/>
          <w:szCs w:val="28"/>
        </w:rPr>
        <w:t>эффективном уровне (0,94</w:t>
      </w:r>
      <w:r w:rsidRPr="00DF340A">
        <w:rPr>
          <w:rFonts w:ascii="Times New Roman" w:hAnsi="Times New Roman" w:cs="Times New Roman"/>
          <w:sz w:val="28"/>
          <w:szCs w:val="28"/>
        </w:rPr>
        <w:t>%).</w:t>
      </w:r>
    </w:p>
    <w:p w:rsidR="002B40D9" w:rsidRPr="00DF340A" w:rsidRDefault="002B40D9" w:rsidP="005463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осуществления закупок товаров, работ, услуг считается месяц и год закупки, указанные в лоте плана-графика.</w:t>
      </w:r>
    </w:p>
    <w:p w:rsidR="002B40D9" w:rsidRPr="00DF340A" w:rsidRDefault="002B40D9" w:rsidP="005463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40D9" w:rsidRPr="00DF340A" w:rsidRDefault="002B40D9" w:rsidP="00546380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i/>
          <w:sz w:val="28"/>
          <w:szCs w:val="28"/>
          <w:u w:val="single"/>
        </w:rPr>
        <w:t>Показатели количественного анализа осуществления закупок</w:t>
      </w:r>
    </w:p>
    <w:p w:rsidR="00C30CA8" w:rsidRPr="00DF340A" w:rsidRDefault="00DD48A5" w:rsidP="00C30CA8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40A">
        <w:rPr>
          <w:noProof/>
          <w:lang w:eastAsia="ru-RU"/>
        </w:rPr>
        <w:drawing>
          <wp:inline distT="0" distB="0" distL="0" distR="0" wp14:anchorId="3F8D288D" wp14:editId="66A7A5AD">
            <wp:extent cx="5941060" cy="3442915"/>
            <wp:effectExtent l="0" t="0" r="254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0CA8" w:rsidRPr="00DF340A" w:rsidRDefault="00C30CA8" w:rsidP="00C30CA8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9" w:type="dxa"/>
        <w:tblInd w:w="-10" w:type="dxa"/>
        <w:tblLook w:val="04A0" w:firstRow="1" w:lastRow="0" w:firstColumn="1" w:lastColumn="0" w:noHBand="0" w:noVBand="1"/>
      </w:tblPr>
      <w:tblGrid>
        <w:gridCol w:w="2828"/>
        <w:gridCol w:w="1499"/>
        <w:gridCol w:w="2619"/>
        <w:gridCol w:w="2433"/>
      </w:tblGrid>
      <w:tr w:rsidR="00C13A97" w:rsidRPr="00DF340A" w:rsidTr="00C13A97">
        <w:trPr>
          <w:trHeight w:val="315"/>
        </w:trPr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закупок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осуществленных закупок, руб.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</w:t>
            </w:r>
          </w:p>
        </w:tc>
      </w:tr>
      <w:tr w:rsidR="00C13A97" w:rsidRPr="00DF340A" w:rsidTr="00C13A97">
        <w:trPr>
          <w:trHeight w:val="645"/>
        </w:trPr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размещенного объема закупок, %</w:t>
            </w:r>
          </w:p>
        </w:tc>
      </w:tr>
      <w:tr w:rsidR="00C13A97" w:rsidRPr="00DF340A" w:rsidTr="00C13A97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1 284 032 192,89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8,99</w:t>
            </w:r>
          </w:p>
        </w:tc>
      </w:tr>
      <w:tr w:rsidR="00C13A97" w:rsidRPr="00DF340A" w:rsidTr="00C13A97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7 377 865 590,20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51,65</w:t>
            </w:r>
          </w:p>
        </w:tc>
      </w:tr>
      <w:tr w:rsidR="00C13A97" w:rsidRPr="00DF340A" w:rsidTr="00C13A97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157 150 451,02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C13A97" w:rsidRPr="00DF340A" w:rsidTr="00C13A97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конкурентными способами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8 819 048 234,11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61,74</w:t>
            </w:r>
          </w:p>
        </w:tc>
      </w:tr>
      <w:tr w:rsidR="00C13A97" w:rsidRPr="00DF340A" w:rsidTr="00C13A97">
        <w:trPr>
          <w:trHeight w:val="64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(закупки малого объема)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1 427 756 966,91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9,99</w:t>
            </w:r>
          </w:p>
        </w:tc>
      </w:tr>
      <w:tr w:rsidR="00C13A97" w:rsidRPr="00DF340A" w:rsidTr="00C13A97">
        <w:trPr>
          <w:trHeight w:val="64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(ст. 93 Закона о контрактной системе)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1C4370" w:rsidP="001C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13A97"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4 038 185 216,09  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28,27</w:t>
            </w:r>
          </w:p>
        </w:tc>
      </w:tr>
      <w:tr w:rsidR="00C13A97" w:rsidRPr="00DF340A" w:rsidTr="00C13A97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неконкурентными способами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21737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5 465 942 183,00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38,26</w:t>
            </w:r>
          </w:p>
        </w:tc>
      </w:tr>
      <w:tr w:rsidR="00C13A97" w:rsidRPr="00DF340A" w:rsidTr="00C13A97">
        <w:trPr>
          <w:trHeight w:val="33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22 822,00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14 284 990 417,11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97" w:rsidRPr="00DF340A" w:rsidRDefault="00C13A97" w:rsidP="00C1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13A97" w:rsidRPr="00DF340A" w:rsidRDefault="00C13A97" w:rsidP="00C30CA8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050" w:rsidRPr="00DF340A" w:rsidRDefault="00262050" w:rsidP="00262050">
      <w:pPr>
        <w:pStyle w:val="ad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d1= Qа / Qzak*100%, где 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Q а– количество проведенных аукционов;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Qzak – общее количество закупок.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Оценка по показателю – </w:t>
      </w:r>
      <w:r w:rsidR="001C4370" w:rsidRPr="00DF340A">
        <w:rPr>
          <w:rFonts w:ascii="Times New Roman" w:hAnsi="Times New Roman" w:cs="Times New Roman"/>
          <w:sz w:val="28"/>
          <w:szCs w:val="28"/>
        </w:rPr>
        <w:t xml:space="preserve">низко </w:t>
      </w:r>
      <w:r w:rsidRPr="00DF340A">
        <w:rPr>
          <w:rFonts w:ascii="Times New Roman" w:hAnsi="Times New Roman" w:cs="Times New Roman"/>
          <w:sz w:val="28"/>
          <w:szCs w:val="28"/>
        </w:rPr>
        <w:t>эффективная.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050" w:rsidRPr="00DF340A" w:rsidRDefault="00262050" w:rsidP="00262050">
      <w:pPr>
        <w:pStyle w:val="ad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d2= Qk / Qzak*100%, где 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Qk – количество проведенных конкурсов;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Qzak – общее количество закупок.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Оценка по данному показателю –неэффективная. 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050" w:rsidRPr="00DF340A" w:rsidRDefault="00262050" w:rsidP="00262050">
      <w:pPr>
        <w:pStyle w:val="ad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Доля закупок путем проведения запроса котировок (запроса предложений) к общему количеству закупок: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d3= Qзк / Qzak*100%, где 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Qзк– количество закупок проведения путем запроса котировок и запроса предложений;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Qzak – общее количество закупок.</w:t>
      </w:r>
    </w:p>
    <w:p w:rsidR="00262050" w:rsidRPr="00DF340A" w:rsidRDefault="00262050" w:rsidP="0026205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Оценка показателя – </w:t>
      </w:r>
      <w:r w:rsidR="001C4370" w:rsidRPr="00DF340A">
        <w:rPr>
          <w:rFonts w:ascii="Times New Roman" w:hAnsi="Times New Roman" w:cs="Times New Roman"/>
          <w:sz w:val="28"/>
          <w:szCs w:val="28"/>
        </w:rPr>
        <w:t>не</w:t>
      </w:r>
      <w:r w:rsidRPr="00DF340A">
        <w:rPr>
          <w:rFonts w:ascii="Times New Roman" w:hAnsi="Times New Roman" w:cs="Times New Roman"/>
          <w:sz w:val="28"/>
          <w:szCs w:val="28"/>
        </w:rPr>
        <w:t>эффективная.</w:t>
      </w:r>
    </w:p>
    <w:p w:rsidR="00022C71" w:rsidRPr="00DF340A" w:rsidRDefault="00022C71" w:rsidP="005463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94" w:rsidRPr="00DF340A" w:rsidRDefault="002B40D9" w:rsidP="005463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Анализ структу</w:t>
      </w:r>
      <w:r w:rsidR="00C30CA8" w:rsidRPr="00DF340A">
        <w:rPr>
          <w:rFonts w:ascii="Times New Roman" w:hAnsi="Times New Roman" w:cs="Times New Roman"/>
          <w:sz w:val="28"/>
          <w:szCs w:val="28"/>
        </w:rPr>
        <w:t>ры закупок, осущест</w:t>
      </w:r>
      <w:r w:rsidR="001C4370" w:rsidRPr="00DF340A">
        <w:rPr>
          <w:rFonts w:ascii="Times New Roman" w:hAnsi="Times New Roman" w:cs="Times New Roman"/>
          <w:sz w:val="28"/>
          <w:szCs w:val="28"/>
        </w:rPr>
        <w:t>вленных в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году, показывает, что преобладающим способом определения поставщиков (подрядчиков, исполнителей) в отчетном периоде является </w:t>
      </w:r>
      <w:r w:rsidR="001C4370" w:rsidRPr="00DF340A">
        <w:rPr>
          <w:rFonts w:ascii="Times New Roman" w:hAnsi="Times New Roman" w:cs="Times New Roman"/>
          <w:sz w:val="28"/>
          <w:szCs w:val="28"/>
        </w:rPr>
        <w:t>открытый конкурс в электронной форме</w:t>
      </w:r>
      <w:r w:rsidRPr="00DF340A">
        <w:rPr>
          <w:rFonts w:ascii="Times New Roman" w:hAnsi="Times New Roman" w:cs="Times New Roman"/>
          <w:sz w:val="28"/>
          <w:szCs w:val="28"/>
        </w:rPr>
        <w:t xml:space="preserve">. Доля </w:t>
      </w:r>
      <w:r w:rsidR="001C4370" w:rsidRPr="00DF340A">
        <w:rPr>
          <w:rFonts w:ascii="Times New Roman" w:hAnsi="Times New Roman" w:cs="Times New Roman"/>
          <w:sz w:val="28"/>
          <w:szCs w:val="28"/>
        </w:rPr>
        <w:t>конкурсов</w:t>
      </w:r>
      <w:r w:rsidR="00262050" w:rsidRPr="00DF340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C4370" w:rsidRPr="00DF340A">
        <w:rPr>
          <w:rFonts w:ascii="Times New Roman" w:hAnsi="Times New Roman" w:cs="Times New Roman"/>
          <w:sz w:val="28"/>
          <w:szCs w:val="28"/>
        </w:rPr>
        <w:t>52</w:t>
      </w:r>
      <w:r w:rsidRPr="00DF340A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262050" w:rsidRPr="00DF340A">
        <w:rPr>
          <w:rFonts w:ascii="Times New Roman" w:hAnsi="Times New Roman" w:cs="Times New Roman"/>
          <w:sz w:val="28"/>
          <w:szCs w:val="28"/>
        </w:rPr>
        <w:t>количества</w:t>
      </w:r>
      <w:r w:rsidRPr="00DF340A">
        <w:rPr>
          <w:rFonts w:ascii="Times New Roman" w:hAnsi="Times New Roman" w:cs="Times New Roman"/>
          <w:sz w:val="28"/>
          <w:szCs w:val="28"/>
        </w:rPr>
        <w:t xml:space="preserve"> размещенных в </w:t>
      </w:r>
      <w:r w:rsidRPr="00DF340A">
        <w:rPr>
          <w:rFonts w:ascii="Times New Roman" w:hAnsi="Times New Roman" w:cs="Times New Roman"/>
          <w:sz w:val="28"/>
          <w:szCs w:val="28"/>
        </w:rPr>
        <w:lastRenderedPageBreak/>
        <w:t>единой информационной систем</w:t>
      </w:r>
      <w:r w:rsidR="00A36324" w:rsidRPr="00DF340A">
        <w:rPr>
          <w:rFonts w:ascii="Times New Roman" w:hAnsi="Times New Roman" w:cs="Times New Roman"/>
          <w:sz w:val="28"/>
          <w:szCs w:val="28"/>
        </w:rPr>
        <w:t>е извещений. По отношению к 2021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году отмечается </w:t>
      </w:r>
      <w:r w:rsidR="001C4370" w:rsidRPr="00DF340A">
        <w:rPr>
          <w:rFonts w:ascii="Times New Roman" w:hAnsi="Times New Roman" w:cs="Times New Roman"/>
          <w:sz w:val="28"/>
          <w:szCs w:val="28"/>
        </w:rPr>
        <w:t>увеличение</w:t>
      </w:r>
      <w:r w:rsidRPr="00DF340A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1C4370" w:rsidRPr="00DF340A">
        <w:rPr>
          <w:rFonts w:ascii="Times New Roman" w:hAnsi="Times New Roman" w:cs="Times New Roman"/>
          <w:sz w:val="28"/>
          <w:szCs w:val="28"/>
        </w:rPr>
        <w:t>конкурентных закупок.</w:t>
      </w:r>
    </w:p>
    <w:p w:rsidR="001C4370" w:rsidRPr="00DF340A" w:rsidRDefault="001C4370" w:rsidP="001C4370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40A">
        <w:rPr>
          <w:noProof/>
          <w:lang w:eastAsia="ru-RU"/>
        </w:rPr>
        <w:drawing>
          <wp:inline distT="0" distB="0" distL="0" distR="0" wp14:anchorId="4156DFE2" wp14:editId="43D8AC1B">
            <wp:extent cx="5871884" cy="3590364"/>
            <wp:effectExtent l="0" t="0" r="14605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40D9" w:rsidRPr="00DF340A" w:rsidRDefault="002B40D9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Общее колич</w:t>
      </w:r>
      <w:r w:rsidR="00022C71" w:rsidRPr="00DF340A">
        <w:rPr>
          <w:rFonts w:ascii="Times New Roman" w:hAnsi="Times New Roman" w:cs="Times New Roman"/>
          <w:sz w:val="28"/>
          <w:szCs w:val="28"/>
        </w:rPr>
        <w:t>ество размещенных закупок в 20</w:t>
      </w:r>
      <w:r w:rsidR="00990674" w:rsidRPr="00DF340A">
        <w:rPr>
          <w:rFonts w:ascii="Times New Roman" w:hAnsi="Times New Roman" w:cs="Times New Roman"/>
          <w:sz w:val="28"/>
          <w:szCs w:val="28"/>
        </w:rPr>
        <w:t>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году по сравн</w:t>
      </w:r>
      <w:r w:rsidR="00990674" w:rsidRPr="00DF340A">
        <w:rPr>
          <w:rFonts w:ascii="Times New Roman" w:hAnsi="Times New Roman" w:cs="Times New Roman"/>
          <w:sz w:val="28"/>
          <w:szCs w:val="28"/>
        </w:rPr>
        <w:t>ению с аналогичным периодом 2021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90674" w:rsidRPr="00DF340A">
        <w:rPr>
          <w:rFonts w:ascii="Times New Roman" w:hAnsi="Times New Roman" w:cs="Times New Roman"/>
          <w:sz w:val="28"/>
          <w:szCs w:val="28"/>
        </w:rPr>
        <w:t>увеличилось</w:t>
      </w:r>
      <w:r w:rsidRPr="00DF340A">
        <w:rPr>
          <w:rFonts w:ascii="Times New Roman" w:hAnsi="Times New Roman" w:cs="Times New Roman"/>
          <w:sz w:val="28"/>
          <w:szCs w:val="28"/>
        </w:rPr>
        <w:t xml:space="preserve"> на </w:t>
      </w:r>
      <w:r w:rsidR="00990674" w:rsidRPr="00DF340A">
        <w:rPr>
          <w:rFonts w:ascii="Times New Roman" w:hAnsi="Times New Roman" w:cs="Times New Roman"/>
          <w:sz w:val="28"/>
          <w:szCs w:val="28"/>
        </w:rPr>
        <w:t>29,94</w:t>
      </w:r>
      <w:r w:rsidRPr="00DF340A">
        <w:rPr>
          <w:rFonts w:ascii="Times New Roman" w:hAnsi="Times New Roman" w:cs="Times New Roman"/>
          <w:sz w:val="28"/>
          <w:szCs w:val="28"/>
        </w:rPr>
        <w:t>%, в том чис</w:t>
      </w:r>
      <w:r w:rsidR="0055250E" w:rsidRPr="00DF340A">
        <w:rPr>
          <w:rFonts w:ascii="Times New Roman" w:hAnsi="Times New Roman" w:cs="Times New Roman"/>
          <w:sz w:val="28"/>
          <w:szCs w:val="28"/>
        </w:rPr>
        <w:t xml:space="preserve">ле: </w:t>
      </w:r>
      <w:r w:rsidR="008E764C" w:rsidRPr="00DF340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5250E" w:rsidRPr="00DF340A">
        <w:rPr>
          <w:rFonts w:ascii="Times New Roman" w:hAnsi="Times New Roman" w:cs="Times New Roman"/>
          <w:sz w:val="28"/>
          <w:szCs w:val="28"/>
        </w:rPr>
        <w:t xml:space="preserve">электронных аукционов в </w:t>
      </w:r>
      <w:r w:rsidR="008E764C" w:rsidRPr="00DF340A">
        <w:rPr>
          <w:rFonts w:ascii="Times New Roman" w:hAnsi="Times New Roman" w:cs="Times New Roman"/>
          <w:sz w:val="28"/>
          <w:szCs w:val="28"/>
        </w:rPr>
        <w:t>202</w:t>
      </w:r>
      <w:r w:rsidR="00990674" w:rsidRPr="00DF340A">
        <w:rPr>
          <w:rFonts w:ascii="Times New Roman" w:hAnsi="Times New Roman" w:cs="Times New Roman"/>
          <w:sz w:val="28"/>
          <w:szCs w:val="28"/>
        </w:rPr>
        <w:t>2</w:t>
      </w:r>
      <w:r w:rsidR="0055250E" w:rsidRPr="00DF340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90674" w:rsidRPr="00DF340A">
        <w:rPr>
          <w:rFonts w:ascii="Times New Roman" w:hAnsi="Times New Roman" w:cs="Times New Roman"/>
          <w:sz w:val="28"/>
          <w:szCs w:val="28"/>
        </w:rPr>
        <w:t>увеличилось</w:t>
      </w:r>
      <w:r w:rsidR="008E764C" w:rsidRPr="00DF340A">
        <w:rPr>
          <w:rFonts w:ascii="Times New Roman" w:hAnsi="Times New Roman" w:cs="Times New Roman"/>
          <w:sz w:val="28"/>
          <w:szCs w:val="28"/>
        </w:rPr>
        <w:t xml:space="preserve"> на </w:t>
      </w:r>
      <w:r w:rsidR="00990674" w:rsidRPr="00DF340A">
        <w:rPr>
          <w:rFonts w:ascii="Times New Roman" w:hAnsi="Times New Roman" w:cs="Times New Roman"/>
          <w:sz w:val="28"/>
          <w:szCs w:val="28"/>
        </w:rPr>
        <w:t>6,75</w:t>
      </w:r>
      <w:r w:rsidRPr="00DF340A">
        <w:rPr>
          <w:rFonts w:ascii="Times New Roman" w:hAnsi="Times New Roman" w:cs="Times New Roman"/>
          <w:sz w:val="28"/>
          <w:szCs w:val="28"/>
        </w:rPr>
        <w:t xml:space="preserve">%, </w:t>
      </w:r>
      <w:r w:rsidR="00990674" w:rsidRPr="00DF340A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DF340A">
        <w:rPr>
          <w:rFonts w:ascii="Times New Roman" w:hAnsi="Times New Roman" w:cs="Times New Roman"/>
          <w:sz w:val="28"/>
          <w:szCs w:val="28"/>
        </w:rPr>
        <w:t>конкурсов</w:t>
      </w:r>
      <w:r w:rsidR="00990674" w:rsidRPr="00DF340A">
        <w:rPr>
          <w:rFonts w:ascii="Times New Roman" w:hAnsi="Times New Roman" w:cs="Times New Roman"/>
          <w:sz w:val="28"/>
          <w:szCs w:val="28"/>
        </w:rPr>
        <w:t xml:space="preserve"> в электронной</w:t>
      </w:r>
      <w:r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990674" w:rsidRPr="00DF340A">
        <w:rPr>
          <w:rFonts w:ascii="Times New Roman" w:hAnsi="Times New Roman" w:cs="Times New Roman"/>
          <w:sz w:val="28"/>
          <w:szCs w:val="28"/>
        </w:rPr>
        <w:t>форме увеличилось</w:t>
      </w:r>
      <w:r w:rsidR="0055250E"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Pr="00DF340A">
        <w:rPr>
          <w:rFonts w:ascii="Times New Roman" w:hAnsi="Times New Roman" w:cs="Times New Roman"/>
          <w:sz w:val="28"/>
          <w:szCs w:val="28"/>
        </w:rPr>
        <w:t xml:space="preserve">на </w:t>
      </w:r>
      <w:r w:rsidR="00990674" w:rsidRPr="00DF340A">
        <w:rPr>
          <w:rFonts w:ascii="Times New Roman" w:hAnsi="Times New Roman" w:cs="Times New Roman"/>
          <w:sz w:val="28"/>
          <w:szCs w:val="28"/>
        </w:rPr>
        <w:t>38,6</w:t>
      </w:r>
      <w:r w:rsidRPr="00DF340A">
        <w:rPr>
          <w:rFonts w:ascii="Times New Roman" w:hAnsi="Times New Roman" w:cs="Times New Roman"/>
          <w:sz w:val="28"/>
          <w:szCs w:val="28"/>
        </w:rPr>
        <w:t>%, запросов котировок</w:t>
      </w:r>
      <w:r w:rsidR="00990674" w:rsidRPr="00DF340A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5250E"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8E764C" w:rsidRPr="00DF340A">
        <w:rPr>
          <w:rFonts w:ascii="Times New Roman" w:hAnsi="Times New Roman" w:cs="Times New Roman"/>
          <w:sz w:val="28"/>
          <w:szCs w:val="28"/>
        </w:rPr>
        <w:t>увеличилось</w:t>
      </w:r>
      <w:r w:rsidRPr="00DF340A">
        <w:rPr>
          <w:rFonts w:ascii="Times New Roman" w:hAnsi="Times New Roman" w:cs="Times New Roman"/>
          <w:sz w:val="28"/>
          <w:szCs w:val="28"/>
        </w:rPr>
        <w:t xml:space="preserve"> на </w:t>
      </w:r>
      <w:r w:rsidR="00990674" w:rsidRPr="00DF340A">
        <w:rPr>
          <w:rFonts w:ascii="Times New Roman" w:hAnsi="Times New Roman" w:cs="Times New Roman"/>
          <w:sz w:val="28"/>
          <w:szCs w:val="28"/>
        </w:rPr>
        <w:t>129,69</w:t>
      </w:r>
      <w:r w:rsidR="008E764C" w:rsidRPr="00DF340A">
        <w:rPr>
          <w:rFonts w:ascii="Times New Roman" w:hAnsi="Times New Roman" w:cs="Times New Roman"/>
          <w:sz w:val="28"/>
          <w:szCs w:val="28"/>
        </w:rPr>
        <w:t>%.</w:t>
      </w:r>
    </w:p>
    <w:p w:rsidR="00262050" w:rsidRPr="00DF340A" w:rsidRDefault="00262050" w:rsidP="00546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D9" w:rsidRPr="00DF340A" w:rsidRDefault="002B40D9" w:rsidP="00546380">
      <w:pPr>
        <w:pStyle w:val="ad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i/>
          <w:sz w:val="28"/>
          <w:szCs w:val="28"/>
          <w:u w:val="single"/>
        </w:rPr>
        <w:t>Показатель экономической эффективности расходования бюджетных средств</w:t>
      </w:r>
    </w:p>
    <w:p w:rsidR="0057578A" w:rsidRPr="00DF340A" w:rsidRDefault="0057578A" w:rsidP="0057578A">
      <w:pPr>
        <w:pStyle w:val="ad"/>
        <w:tabs>
          <w:tab w:val="left" w:pos="709"/>
          <w:tab w:val="left" w:pos="993"/>
        </w:tabs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2B40D9" w:rsidRPr="00DF340A" w:rsidRDefault="002B40D9" w:rsidP="0054638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Степень эффективности расходования бюджетных средств за</w:t>
      </w:r>
      <w:r w:rsidR="00990674" w:rsidRPr="00DF340A">
        <w:rPr>
          <w:rFonts w:ascii="Times New Roman" w:hAnsi="Times New Roman" w:cs="Times New Roman"/>
          <w:sz w:val="28"/>
          <w:szCs w:val="28"/>
        </w:rPr>
        <w:t xml:space="preserve"> период с января по декабрь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990674" w:rsidRPr="00DF340A">
        <w:rPr>
          <w:rFonts w:ascii="Times New Roman" w:hAnsi="Times New Roman" w:cs="Times New Roman"/>
          <w:sz w:val="28"/>
          <w:szCs w:val="28"/>
        </w:rPr>
        <w:t>3</w:t>
      </w:r>
      <w:r w:rsidR="00262050" w:rsidRPr="00DF340A">
        <w:rPr>
          <w:rFonts w:ascii="Times New Roman" w:hAnsi="Times New Roman" w:cs="Times New Roman"/>
          <w:sz w:val="28"/>
          <w:szCs w:val="28"/>
        </w:rPr>
        <w:t>,</w:t>
      </w:r>
      <w:r w:rsidR="00D4282A" w:rsidRPr="00DF340A">
        <w:rPr>
          <w:rFonts w:ascii="Times New Roman" w:hAnsi="Times New Roman" w:cs="Times New Roman"/>
          <w:sz w:val="28"/>
          <w:szCs w:val="28"/>
        </w:rPr>
        <w:t>06</w:t>
      </w:r>
      <w:r w:rsidRPr="00DF340A">
        <w:rPr>
          <w:rFonts w:ascii="Times New Roman" w:hAnsi="Times New Roman" w:cs="Times New Roman"/>
          <w:sz w:val="28"/>
          <w:szCs w:val="28"/>
        </w:rPr>
        <w:t xml:space="preserve">%. Надо заметить, что по существующей методике расчета степени эффективности расходования бюджетных средств, если показатель составляет </w:t>
      </w:r>
      <w:r w:rsidR="006E6584" w:rsidRPr="00DF340A">
        <w:rPr>
          <w:rFonts w:ascii="Times New Roman" w:hAnsi="Times New Roman" w:cs="Times New Roman"/>
          <w:sz w:val="28"/>
          <w:szCs w:val="28"/>
        </w:rPr>
        <w:t xml:space="preserve">от </w:t>
      </w:r>
      <w:r w:rsidR="00990674" w:rsidRPr="00DF340A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D4282A" w:rsidRPr="00DF340A">
        <w:rPr>
          <w:rFonts w:ascii="Times New Roman" w:hAnsi="Times New Roman" w:cs="Times New Roman"/>
          <w:sz w:val="28"/>
          <w:szCs w:val="28"/>
        </w:rPr>
        <w:t>5</w:t>
      </w:r>
      <w:r w:rsidR="00A96E08" w:rsidRPr="00DF340A">
        <w:rPr>
          <w:rFonts w:ascii="Times New Roman" w:hAnsi="Times New Roman" w:cs="Times New Roman"/>
          <w:sz w:val="28"/>
          <w:szCs w:val="28"/>
        </w:rPr>
        <w:t>%</w:t>
      </w:r>
      <w:r w:rsidR="00990674" w:rsidRPr="00DF340A">
        <w:rPr>
          <w:rFonts w:ascii="Times New Roman" w:hAnsi="Times New Roman" w:cs="Times New Roman"/>
          <w:sz w:val="28"/>
          <w:szCs w:val="28"/>
        </w:rPr>
        <w:t>,</w:t>
      </w:r>
      <w:r w:rsidRPr="00DF340A">
        <w:rPr>
          <w:rFonts w:ascii="Times New Roman" w:hAnsi="Times New Roman" w:cs="Times New Roman"/>
          <w:sz w:val="28"/>
          <w:szCs w:val="28"/>
        </w:rPr>
        <w:t xml:space="preserve"> оценка деятельности считается </w:t>
      </w:r>
      <w:r w:rsidR="00990674" w:rsidRPr="00DF340A">
        <w:rPr>
          <w:rFonts w:ascii="Times New Roman" w:hAnsi="Times New Roman" w:cs="Times New Roman"/>
          <w:sz w:val="28"/>
          <w:szCs w:val="28"/>
        </w:rPr>
        <w:t>низко эффективной.</w:t>
      </w:r>
    </w:p>
    <w:p w:rsidR="002B40D9" w:rsidRPr="00DF340A" w:rsidRDefault="002B40D9" w:rsidP="0054638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Экономия по размещенным закупкам в разрезе способов определения поставщика (</w:t>
      </w:r>
      <w:r w:rsidR="00990674" w:rsidRPr="00DF340A">
        <w:rPr>
          <w:rFonts w:ascii="Times New Roman" w:hAnsi="Times New Roman" w:cs="Times New Roman"/>
          <w:sz w:val="28"/>
          <w:szCs w:val="28"/>
        </w:rPr>
        <w:t>подрядчика, исполнителя) за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3544"/>
        <w:gridCol w:w="1985"/>
        <w:gridCol w:w="2126"/>
        <w:gridCol w:w="1984"/>
      </w:tblGrid>
      <w:tr w:rsidR="00990674" w:rsidRPr="00DF340A" w:rsidTr="004B21F7">
        <w:trPr>
          <w:trHeight w:val="64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определения поставщиков (подрядчиков, исполнителей)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НМЦК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по протоколу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</w:tr>
      <w:tr w:rsidR="00990674" w:rsidRPr="00DF340A" w:rsidTr="004B21F7">
        <w:trPr>
          <w:trHeight w:val="60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1 284 032 192,89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1 130 744 814,39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153 287 378,50</w:t>
            </w:r>
          </w:p>
        </w:tc>
      </w:tr>
      <w:tr w:rsidR="00990674" w:rsidRPr="00DF340A" w:rsidTr="004B21F7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0674" w:rsidRPr="00DF340A" w:rsidTr="004B21F7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  <w:r w:rsidR="004B21F7"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7 356 423 505,58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7 210 219 948,54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146 203 557,04</w:t>
            </w:r>
          </w:p>
        </w:tc>
      </w:tr>
      <w:tr w:rsidR="00990674" w:rsidRPr="00DF340A" w:rsidTr="004B21F7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 ограниченным участием</w:t>
            </w:r>
            <w:r w:rsidR="004B21F7"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21 442 084,62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19 644 629,20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1 797 455,42</w:t>
            </w:r>
          </w:p>
        </w:tc>
      </w:tr>
      <w:tr w:rsidR="00990674" w:rsidRPr="00DF340A" w:rsidTr="004B21F7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Запрос котировок </w:t>
            </w:r>
            <w:r w:rsidR="004B21F7"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157 150 451,02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140 888 076,14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16 262 374,88</w:t>
            </w:r>
          </w:p>
        </w:tc>
      </w:tr>
      <w:tr w:rsidR="00990674" w:rsidRPr="00DF340A" w:rsidTr="004B21F7">
        <w:trPr>
          <w:trHeight w:val="72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674" w:rsidRPr="00DF340A" w:rsidRDefault="00990674" w:rsidP="0099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8 819 048 234,11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8 501 497 468,27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674" w:rsidRPr="00DF340A" w:rsidRDefault="00990674" w:rsidP="004B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317 550 765,84</w:t>
            </w:r>
          </w:p>
        </w:tc>
      </w:tr>
    </w:tbl>
    <w:p w:rsidR="00990674" w:rsidRPr="00DF340A" w:rsidRDefault="00990674" w:rsidP="0054638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0D9" w:rsidRPr="00DF340A" w:rsidRDefault="002B40D9" w:rsidP="005463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ab/>
        <w:t xml:space="preserve">По сравнению с </w:t>
      </w:r>
      <w:r w:rsidR="00CF31D8" w:rsidRPr="00DF340A">
        <w:rPr>
          <w:rFonts w:ascii="Times New Roman" w:hAnsi="Times New Roman" w:cs="Times New Roman"/>
          <w:sz w:val="28"/>
          <w:szCs w:val="28"/>
        </w:rPr>
        <w:t xml:space="preserve">размещенными </w:t>
      </w:r>
      <w:r w:rsidR="004B21F7" w:rsidRPr="00DF340A">
        <w:rPr>
          <w:rFonts w:ascii="Times New Roman" w:hAnsi="Times New Roman" w:cs="Times New Roman"/>
          <w:sz w:val="28"/>
          <w:szCs w:val="28"/>
        </w:rPr>
        <w:t>закупками 2021 года общий объем закупок в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5AF0" w:rsidRPr="00DF340A">
        <w:rPr>
          <w:rFonts w:ascii="Times New Roman" w:hAnsi="Times New Roman" w:cs="Times New Roman"/>
          <w:sz w:val="28"/>
          <w:szCs w:val="28"/>
        </w:rPr>
        <w:t>увеличился</w:t>
      </w:r>
      <w:r w:rsidR="0005534F" w:rsidRPr="00DF340A">
        <w:rPr>
          <w:rFonts w:ascii="Times New Roman" w:hAnsi="Times New Roman" w:cs="Times New Roman"/>
          <w:sz w:val="28"/>
          <w:szCs w:val="28"/>
        </w:rPr>
        <w:t xml:space="preserve"> на </w:t>
      </w:r>
      <w:r w:rsidR="004B21F7" w:rsidRPr="00DF340A">
        <w:rPr>
          <w:rFonts w:ascii="Times New Roman" w:hAnsi="Times New Roman" w:cs="Times New Roman"/>
          <w:sz w:val="28"/>
          <w:szCs w:val="28"/>
        </w:rPr>
        <w:t>65</w:t>
      </w:r>
      <w:r w:rsidR="0005534F" w:rsidRPr="00DF340A">
        <w:rPr>
          <w:rFonts w:ascii="Times New Roman" w:hAnsi="Times New Roman" w:cs="Times New Roman"/>
          <w:sz w:val="28"/>
          <w:szCs w:val="28"/>
        </w:rPr>
        <w:t xml:space="preserve">%. </w:t>
      </w:r>
      <w:r w:rsidR="00366F30" w:rsidRPr="00DF340A">
        <w:rPr>
          <w:rFonts w:ascii="Times New Roman" w:hAnsi="Times New Roman" w:cs="Times New Roman"/>
          <w:sz w:val="28"/>
          <w:szCs w:val="28"/>
        </w:rPr>
        <w:t>При этом</w:t>
      </w:r>
      <w:r w:rsidR="004B21F7" w:rsidRPr="00DF340A">
        <w:rPr>
          <w:rFonts w:ascii="Times New Roman" w:hAnsi="Times New Roman" w:cs="Times New Roman"/>
          <w:sz w:val="28"/>
          <w:szCs w:val="28"/>
        </w:rPr>
        <w:t xml:space="preserve"> в 2022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году объем размещенных </w:t>
      </w:r>
      <w:r w:rsidR="004B21F7" w:rsidRPr="00DF340A">
        <w:rPr>
          <w:rFonts w:ascii="Times New Roman" w:hAnsi="Times New Roman" w:cs="Times New Roman"/>
          <w:sz w:val="28"/>
          <w:szCs w:val="28"/>
        </w:rPr>
        <w:t xml:space="preserve">конкурсов в электронной форме </w:t>
      </w:r>
      <w:r w:rsidR="00E61498" w:rsidRPr="00DF340A">
        <w:rPr>
          <w:rFonts w:ascii="Times New Roman" w:hAnsi="Times New Roman" w:cs="Times New Roman"/>
          <w:sz w:val="28"/>
          <w:szCs w:val="28"/>
        </w:rPr>
        <w:t>увеличился</w:t>
      </w:r>
      <w:r w:rsidRPr="00DF340A">
        <w:rPr>
          <w:rFonts w:ascii="Times New Roman" w:hAnsi="Times New Roman" w:cs="Times New Roman"/>
          <w:sz w:val="28"/>
          <w:szCs w:val="28"/>
        </w:rPr>
        <w:t xml:space="preserve"> по сравн</w:t>
      </w:r>
      <w:r w:rsidR="00325AF0" w:rsidRPr="00DF340A">
        <w:rPr>
          <w:rFonts w:ascii="Times New Roman" w:hAnsi="Times New Roman" w:cs="Times New Roman"/>
          <w:sz w:val="28"/>
          <w:szCs w:val="28"/>
        </w:rPr>
        <w:t xml:space="preserve">ению с аналогичным </w:t>
      </w:r>
      <w:r w:rsidR="004B21F7" w:rsidRPr="00DF340A">
        <w:rPr>
          <w:rFonts w:ascii="Times New Roman" w:hAnsi="Times New Roman" w:cs="Times New Roman"/>
          <w:sz w:val="28"/>
          <w:szCs w:val="28"/>
        </w:rPr>
        <w:t>периодом 2021</w:t>
      </w:r>
      <w:r w:rsidR="00325AF0" w:rsidRPr="00DF34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21F7" w:rsidRPr="00DF340A">
        <w:rPr>
          <w:rFonts w:ascii="Times New Roman" w:hAnsi="Times New Roman" w:cs="Times New Roman"/>
          <w:sz w:val="28"/>
          <w:szCs w:val="28"/>
        </w:rPr>
        <w:t>в 3,23</w:t>
      </w:r>
      <w:r w:rsidR="006E6584" w:rsidRPr="00DF340A">
        <w:rPr>
          <w:rFonts w:ascii="Times New Roman" w:hAnsi="Times New Roman" w:cs="Times New Roman"/>
          <w:sz w:val="28"/>
          <w:szCs w:val="28"/>
        </w:rPr>
        <w:t xml:space="preserve"> раз</w:t>
      </w:r>
      <w:r w:rsidR="004B21F7" w:rsidRPr="00DF340A">
        <w:rPr>
          <w:rFonts w:ascii="Times New Roman" w:hAnsi="Times New Roman" w:cs="Times New Roman"/>
          <w:sz w:val="28"/>
          <w:szCs w:val="28"/>
        </w:rPr>
        <w:t>а</w:t>
      </w:r>
      <w:r w:rsidRPr="00DF340A">
        <w:rPr>
          <w:rFonts w:ascii="Times New Roman" w:hAnsi="Times New Roman" w:cs="Times New Roman"/>
          <w:sz w:val="28"/>
          <w:szCs w:val="28"/>
        </w:rPr>
        <w:t xml:space="preserve">, </w:t>
      </w:r>
      <w:r w:rsidR="004B21F7" w:rsidRPr="00DF340A">
        <w:rPr>
          <w:rFonts w:ascii="Times New Roman" w:hAnsi="Times New Roman" w:cs="Times New Roman"/>
          <w:sz w:val="28"/>
          <w:szCs w:val="28"/>
        </w:rPr>
        <w:t>запросов котировок в электронной форме</w:t>
      </w:r>
      <w:r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366F30" w:rsidRPr="00DF340A">
        <w:rPr>
          <w:rFonts w:ascii="Times New Roman" w:hAnsi="Times New Roman" w:cs="Times New Roman"/>
          <w:sz w:val="28"/>
          <w:szCs w:val="28"/>
        </w:rPr>
        <w:t xml:space="preserve">в </w:t>
      </w:r>
      <w:r w:rsidR="004B21F7" w:rsidRPr="00DF340A">
        <w:rPr>
          <w:rFonts w:ascii="Times New Roman" w:hAnsi="Times New Roman" w:cs="Times New Roman"/>
          <w:sz w:val="28"/>
          <w:szCs w:val="28"/>
        </w:rPr>
        <w:t>1,34</w:t>
      </w:r>
      <w:r w:rsidR="00366F30" w:rsidRPr="00DF340A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DF340A">
        <w:rPr>
          <w:rFonts w:ascii="Times New Roman" w:hAnsi="Times New Roman" w:cs="Times New Roman"/>
          <w:sz w:val="28"/>
          <w:szCs w:val="28"/>
        </w:rPr>
        <w:t>, а объем размещенных элек</w:t>
      </w:r>
      <w:r w:rsidR="00325AF0" w:rsidRPr="00DF340A">
        <w:rPr>
          <w:rFonts w:ascii="Times New Roman" w:hAnsi="Times New Roman" w:cs="Times New Roman"/>
          <w:sz w:val="28"/>
          <w:szCs w:val="28"/>
        </w:rPr>
        <w:t xml:space="preserve">тронных аукционов </w:t>
      </w:r>
      <w:r w:rsidR="00621A4A" w:rsidRPr="00DF340A">
        <w:rPr>
          <w:rFonts w:ascii="Times New Roman" w:hAnsi="Times New Roman" w:cs="Times New Roman"/>
          <w:sz w:val="28"/>
          <w:szCs w:val="28"/>
        </w:rPr>
        <w:t>снизился</w:t>
      </w:r>
      <w:r w:rsidR="00325AF0"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366F30" w:rsidRPr="00DF340A">
        <w:rPr>
          <w:rFonts w:ascii="Times New Roman" w:hAnsi="Times New Roman" w:cs="Times New Roman"/>
          <w:sz w:val="28"/>
          <w:szCs w:val="28"/>
        </w:rPr>
        <w:t>на 0,</w:t>
      </w:r>
      <w:r w:rsidR="004B21F7" w:rsidRPr="00DF340A">
        <w:rPr>
          <w:rFonts w:ascii="Times New Roman" w:hAnsi="Times New Roman" w:cs="Times New Roman"/>
          <w:sz w:val="28"/>
          <w:szCs w:val="28"/>
        </w:rPr>
        <w:t>43</w:t>
      </w:r>
      <w:r w:rsidR="00366F30" w:rsidRPr="00DF340A">
        <w:rPr>
          <w:rFonts w:ascii="Times New Roman" w:hAnsi="Times New Roman" w:cs="Times New Roman"/>
          <w:sz w:val="28"/>
          <w:szCs w:val="28"/>
        </w:rPr>
        <w:t xml:space="preserve"> раз</w:t>
      </w:r>
      <w:r w:rsidR="004B21F7" w:rsidRPr="00DF340A">
        <w:rPr>
          <w:rFonts w:ascii="Times New Roman" w:hAnsi="Times New Roman" w:cs="Times New Roman"/>
          <w:sz w:val="28"/>
          <w:szCs w:val="28"/>
        </w:rPr>
        <w:t>а</w:t>
      </w:r>
      <w:r w:rsidR="00621A4A" w:rsidRPr="00DF340A">
        <w:rPr>
          <w:rFonts w:ascii="Times New Roman" w:hAnsi="Times New Roman" w:cs="Times New Roman"/>
          <w:sz w:val="28"/>
          <w:szCs w:val="28"/>
        </w:rPr>
        <w:t>.</w:t>
      </w:r>
    </w:p>
    <w:p w:rsidR="00546380" w:rsidRPr="00DF340A" w:rsidRDefault="00546380" w:rsidP="00546380">
      <w:pPr>
        <w:pStyle w:val="ad"/>
        <w:tabs>
          <w:tab w:val="left" w:pos="567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DF340A" w:rsidRDefault="002B40D9" w:rsidP="00546380">
      <w:pPr>
        <w:pStyle w:val="ad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340A">
        <w:rPr>
          <w:rFonts w:ascii="Times New Roman" w:hAnsi="Times New Roman" w:cs="Times New Roman"/>
          <w:i/>
          <w:sz w:val="28"/>
          <w:szCs w:val="28"/>
          <w:u w:val="single"/>
        </w:rPr>
        <w:t>Показатель соблюдения законодательства при осуществлении закупки</w:t>
      </w:r>
    </w:p>
    <w:p w:rsidR="0057578A" w:rsidRPr="00DF340A" w:rsidRDefault="0057578A" w:rsidP="0057578A">
      <w:pPr>
        <w:pStyle w:val="ad"/>
        <w:tabs>
          <w:tab w:val="left" w:pos="567"/>
        </w:tabs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DF340A" w:rsidRDefault="002B40D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Анализ соблюдения законодательства при осуществлении закупок по результатам 20</w:t>
      </w:r>
      <w:r w:rsidR="004B21F7" w:rsidRPr="00DF340A">
        <w:rPr>
          <w:rFonts w:ascii="Times New Roman" w:hAnsi="Times New Roman" w:cs="Times New Roman"/>
          <w:sz w:val="28"/>
          <w:szCs w:val="28"/>
        </w:rPr>
        <w:t>22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года показывает, что данный показатель находится на </w:t>
      </w:r>
      <w:r w:rsidR="00680CC4" w:rsidRPr="00DF340A">
        <w:rPr>
          <w:rFonts w:ascii="Times New Roman" w:hAnsi="Times New Roman" w:cs="Times New Roman"/>
          <w:sz w:val="28"/>
          <w:szCs w:val="28"/>
        </w:rPr>
        <w:t>эффективном уровне</w:t>
      </w:r>
      <w:r w:rsidRPr="00DF340A">
        <w:rPr>
          <w:rFonts w:ascii="Times New Roman" w:hAnsi="Times New Roman" w:cs="Times New Roman"/>
          <w:sz w:val="28"/>
          <w:szCs w:val="28"/>
        </w:rPr>
        <w:t>.</w:t>
      </w:r>
    </w:p>
    <w:p w:rsidR="002B40D9" w:rsidRPr="00DF340A" w:rsidRDefault="00546380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С 01 января по 31 декабря 20</w:t>
      </w:r>
      <w:r w:rsidR="004B21F7" w:rsidRPr="00DF340A">
        <w:rPr>
          <w:rFonts w:ascii="Times New Roman" w:hAnsi="Times New Roman" w:cs="Times New Roman"/>
          <w:sz w:val="28"/>
          <w:szCs w:val="28"/>
        </w:rPr>
        <w:t>22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г. было подано </w:t>
      </w:r>
      <w:r w:rsidR="006C3199" w:rsidRPr="00DF340A">
        <w:rPr>
          <w:rFonts w:ascii="Times New Roman" w:hAnsi="Times New Roman" w:cs="Times New Roman"/>
          <w:sz w:val="28"/>
          <w:szCs w:val="28"/>
        </w:rPr>
        <w:t>34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6C3199" w:rsidRPr="00DF340A">
        <w:rPr>
          <w:rFonts w:ascii="Times New Roman" w:hAnsi="Times New Roman" w:cs="Times New Roman"/>
          <w:sz w:val="28"/>
          <w:szCs w:val="28"/>
        </w:rPr>
        <w:t>ы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2B40D9" w:rsidRPr="00DF340A" w:rsidRDefault="00787561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- 5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отозваны заявителями;</w:t>
      </w:r>
    </w:p>
    <w:p w:rsidR="002B40D9" w:rsidRPr="00DF340A" w:rsidRDefault="006C319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- 1</w:t>
      </w:r>
      <w:r w:rsidR="00787561" w:rsidRPr="00DF340A">
        <w:rPr>
          <w:rFonts w:ascii="Times New Roman" w:hAnsi="Times New Roman" w:cs="Times New Roman"/>
          <w:sz w:val="28"/>
          <w:szCs w:val="28"/>
        </w:rPr>
        <w:t>7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признаны необоснованными;</w:t>
      </w:r>
    </w:p>
    <w:p w:rsidR="002B40D9" w:rsidRPr="00DF340A" w:rsidRDefault="006C319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- 2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признаны обоснованными (частично);</w:t>
      </w:r>
    </w:p>
    <w:p w:rsidR="002B40D9" w:rsidRPr="00DF340A" w:rsidRDefault="006C3199" w:rsidP="0054638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- 10</w:t>
      </w:r>
      <w:r w:rsidR="002B40D9" w:rsidRPr="00DF340A">
        <w:rPr>
          <w:rFonts w:ascii="Times New Roman" w:hAnsi="Times New Roman" w:cs="Times New Roman"/>
          <w:sz w:val="28"/>
          <w:szCs w:val="28"/>
        </w:rPr>
        <w:t xml:space="preserve"> признаны обоснованными.</w:t>
      </w:r>
    </w:p>
    <w:p w:rsidR="002B40D9" w:rsidRPr="00DF340A" w:rsidRDefault="002B40D9" w:rsidP="0054638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543BE6" w:rsidRPr="00DF340A" w:rsidRDefault="00543BE6" w:rsidP="0054638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036" w:rsidRPr="00DF340A" w:rsidRDefault="00910036" w:rsidP="0054638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D9" w:rsidRPr="00DF340A" w:rsidRDefault="002B40D9" w:rsidP="00546380">
      <w:pPr>
        <w:pStyle w:val="ad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340A">
        <w:rPr>
          <w:rFonts w:ascii="Times New Roman" w:hAnsi="Times New Roman" w:cs="Times New Roman"/>
          <w:i/>
          <w:sz w:val="28"/>
          <w:szCs w:val="28"/>
          <w:u w:val="single"/>
        </w:rPr>
        <w:t>Показатели эффективности исполнения контрактов</w:t>
      </w:r>
    </w:p>
    <w:p w:rsidR="0057578A" w:rsidRPr="00DF340A" w:rsidRDefault="0057578A" w:rsidP="0057578A">
      <w:pPr>
        <w:pStyle w:val="ad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DF340A" w:rsidRDefault="002B40D9" w:rsidP="009B5B80">
      <w:pPr>
        <w:pStyle w:val="ad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Показателями эффективности исполнения контракта являются - оценка эффект</w:t>
      </w:r>
      <w:r w:rsidR="009B5B80" w:rsidRPr="00DF340A">
        <w:rPr>
          <w:rFonts w:ascii="Times New Roman" w:hAnsi="Times New Roman" w:cs="Times New Roman"/>
          <w:sz w:val="28"/>
          <w:szCs w:val="28"/>
        </w:rPr>
        <w:t>ивности заключенных контрактов</w:t>
      </w:r>
      <w:r w:rsidR="00366F30" w:rsidRPr="00DF340A">
        <w:rPr>
          <w:rFonts w:ascii="Times New Roman" w:hAnsi="Times New Roman" w:cs="Times New Roman"/>
          <w:sz w:val="28"/>
          <w:szCs w:val="28"/>
        </w:rPr>
        <w:t xml:space="preserve"> и</w:t>
      </w:r>
      <w:r w:rsidRPr="00DF340A">
        <w:rPr>
          <w:rFonts w:ascii="Times New Roman" w:hAnsi="Times New Roman" w:cs="Times New Roman"/>
          <w:sz w:val="28"/>
          <w:szCs w:val="28"/>
        </w:rPr>
        <w:t xml:space="preserve"> удельный вес расторгнутых контрактов. По итогам анализа данных подкритериев показателя дана оценка</w:t>
      </w:r>
      <w:r w:rsidR="009B5B80" w:rsidRPr="00DF340A">
        <w:rPr>
          <w:rFonts w:ascii="Times New Roman" w:hAnsi="Times New Roman" w:cs="Times New Roman"/>
          <w:sz w:val="28"/>
          <w:szCs w:val="28"/>
        </w:rPr>
        <w:t xml:space="preserve"> по показателю эффективности заключенных контрактов – </w:t>
      </w:r>
      <w:r w:rsidR="00C97C45" w:rsidRPr="00DF340A">
        <w:rPr>
          <w:rFonts w:ascii="Times New Roman" w:hAnsi="Times New Roman" w:cs="Times New Roman"/>
          <w:sz w:val="28"/>
          <w:szCs w:val="28"/>
        </w:rPr>
        <w:t>3,6</w:t>
      </w:r>
      <w:r w:rsidRPr="00DF340A">
        <w:rPr>
          <w:rFonts w:ascii="Times New Roman" w:hAnsi="Times New Roman" w:cs="Times New Roman"/>
          <w:sz w:val="28"/>
          <w:szCs w:val="28"/>
        </w:rPr>
        <w:t xml:space="preserve"> </w:t>
      </w:r>
      <w:r w:rsidR="009B5B80" w:rsidRPr="00DF340A">
        <w:rPr>
          <w:rFonts w:ascii="Times New Roman" w:hAnsi="Times New Roman" w:cs="Times New Roman"/>
          <w:sz w:val="28"/>
          <w:szCs w:val="28"/>
        </w:rPr>
        <w:t>(</w:t>
      </w:r>
      <w:r w:rsidR="00C97C45" w:rsidRPr="00DF340A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Pr="00DF340A">
        <w:rPr>
          <w:rFonts w:ascii="Times New Roman" w:hAnsi="Times New Roman" w:cs="Times New Roman"/>
          <w:sz w:val="28"/>
          <w:szCs w:val="28"/>
        </w:rPr>
        <w:t>эффективная</w:t>
      </w:r>
      <w:r w:rsidR="009B5B80" w:rsidRPr="00DF340A">
        <w:rPr>
          <w:rFonts w:ascii="Times New Roman" w:hAnsi="Times New Roman" w:cs="Times New Roman"/>
          <w:sz w:val="28"/>
          <w:szCs w:val="28"/>
        </w:rPr>
        <w:t>)</w:t>
      </w:r>
      <w:r w:rsidRPr="00DF340A">
        <w:rPr>
          <w:rFonts w:ascii="Times New Roman" w:hAnsi="Times New Roman" w:cs="Times New Roman"/>
          <w:sz w:val="28"/>
          <w:szCs w:val="28"/>
        </w:rPr>
        <w:t>.</w:t>
      </w:r>
      <w:r w:rsidR="009B5B80" w:rsidRPr="00DF340A">
        <w:rPr>
          <w:rFonts w:ascii="Times New Roman" w:hAnsi="Times New Roman" w:cs="Times New Roman"/>
          <w:sz w:val="28"/>
          <w:szCs w:val="28"/>
        </w:rPr>
        <w:t xml:space="preserve"> По показателю удельного веса расторгнутых контрактов – 0,</w:t>
      </w:r>
      <w:r w:rsidR="00C97C45" w:rsidRPr="00DF340A">
        <w:rPr>
          <w:rFonts w:ascii="Times New Roman" w:hAnsi="Times New Roman" w:cs="Times New Roman"/>
          <w:sz w:val="28"/>
          <w:szCs w:val="28"/>
        </w:rPr>
        <w:t>04</w:t>
      </w:r>
      <w:r w:rsidR="009B5B80" w:rsidRPr="00DF340A">
        <w:rPr>
          <w:rFonts w:ascii="Times New Roman" w:hAnsi="Times New Roman" w:cs="Times New Roman"/>
          <w:sz w:val="28"/>
          <w:szCs w:val="28"/>
        </w:rPr>
        <w:t>(эффективная).</w:t>
      </w:r>
      <w:r w:rsidRPr="00DF3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D9" w:rsidRPr="00DF340A" w:rsidRDefault="003F3C8E" w:rsidP="00546380">
      <w:pPr>
        <w:pStyle w:val="ad"/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noProof/>
          <w:lang w:eastAsia="ru-RU"/>
        </w:rPr>
        <w:lastRenderedPageBreak/>
        <w:drawing>
          <wp:inline distT="0" distB="0" distL="0" distR="0" wp14:anchorId="0418C3BE" wp14:editId="13B163E8">
            <wp:extent cx="5467350" cy="29051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67A2" w:rsidRPr="00DF340A" w:rsidRDefault="005F67A2" w:rsidP="005F67A2">
      <w:pPr>
        <w:pStyle w:val="ad"/>
        <w:tabs>
          <w:tab w:val="left" w:pos="709"/>
          <w:tab w:val="left" w:pos="1134"/>
        </w:tabs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DF340A" w:rsidRDefault="002B40D9" w:rsidP="00F32FC6">
      <w:pPr>
        <w:pStyle w:val="ad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F340A">
        <w:rPr>
          <w:rFonts w:ascii="Times New Roman" w:hAnsi="Times New Roman" w:cs="Times New Roman"/>
          <w:i/>
          <w:sz w:val="28"/>
          <w:szCs w:val="28"/>
          <w:u w:val="single"/>
        </w:rPr>
        <w:t>Комплексная оценка эффективности деятельности муниципальных заказчиков и заказчиков городского округа «город Якутск»</w:t>
      </w:r>
    </w:p>
    <w:p w:rsidR="009B5B80" w:rsidRPr="00DF340A" w:rsidRDefault="009B5B80" w:rsidP="009B5B80">
      <w:pPr>
        <w:pStyle w:val="ad"/>
        <w:tabs>
          <w:tab w:val="left" w:pos="709"/>
          <w:tab w:val="left" w:pos="1134"/>
        </w:tabs>
        <w:spacing w:after="0" w:line="240" w:lineRule="auto"/>
        <w:ind w:left="709"/>
        <w:contextualSpacing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40D9" w:rsidRPr="00DF340A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 xml:space="preserve">Показатель комплексной оценки эффективности деятельности заказчиков городского округа «город Якутск» рассчитывается путем суммирования значений показателя соблюдения законодательства при осуществлении закупок и показателей эффективности исполнения контракта. Оценка по данному показателю – нормативно эффективная. </w:t>
      </w:r>
    </w:p>
    <w:p w:rsidR="002B40D9" w:rsidRPr="00DF340A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Выводы о результатах мониторинга закупок для обеспечения муниципальных нужд за 2</w:t>
      </w:r>
      <w:r w:rsidR="006B4BD9" w:rsidRPr="00DF340A">
        <w:rPr>
          <w:rFonts w:ascii="Times New Roman" w:hAnsi="Times New Roman" w:cs="Times New Roman"/>
          <w:sz w:val="28"/>
          <w:szCs w:val="28"/>
        </w:rPr>
        <w:t>02</w:t>
      </w:r>
      <w:r w:rsidR="003F3C8E" w:rsidRPr="00DF340A">
        <w:rPr>
          <w:rFonts w:ascii="Times New Roman" w:hAnsi="Times New Roman" w:cs="Times New Roman"/>
          <w:sz w:val="28"/>
          <w:szCs w:val="28"/>
        </w:rPr>
        <w:t>2</w:t>
      </w:r>
      <w:r w:rsidRPr="00DF340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B40D9" w:rsidRPr="00DF340A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преобладающим способом определения поставщиков (подрядчиков, исполнителей) при осуществлении закупок в городском округе «город Якутск» является электронный аукцион. Доля элект</w:t>
      </w:r>
      <w:r w:rsidR="00546380" w:rsidRPr="00DF340A">
        <w:rPr>
          <w:rFonts w:ascii="Times New Roman" w:hAnsi="Times New Roman" w:cs="Times New Roman"/>
          <w:sz w:val="28"/>
          <w:szCs w:val="28"/>
        </w:rPr>
        <w:t>р</w:t>
      </w:r>
      <w:r w:rsidR="00B43363" w:rsidRPr="00DF340A">
        <w:rPr>
          <w:rFonts w:ascii="Times New Roman" w:hAnsi="Times New Roman" w:cs="Times New Roman"/>
          <w:sz w:val="28"/>
          <w:szCs w:val="28"/>
        </w:rPr>
        <w:t xml:space="preserve">онных аукционов составляет </w:t>
      </w:r>
      <w:r w:rsidR="003F3C8E" w:rsidRPr="00DF340A">
        <w:rPr>
          <w:rFonts w:ascii="Times New Roman" w:hAnsi="Times New Roman" w:cs="Times New Roman"/>
          <w:sz w:val="28"/>
          <w:szCs w:val="28"/>
        </w:rPr>
        <w:t>58,3</w:t>
      </w:r>
      <w:r w:rsidRPr="00DF340A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B43363" w:rsidRPr="00DF340A">
        <w:rPr>
          <w:rFonts w:ascii="Times New Roman" w:hAnsi="Times New Roman" w:cs="Times New Roman"/>
          <w:sz w:val="28"/>
          <w:szCs w:val="28"/>
        </w:rPr>
        <w:t>количества</w:t>
      </w:r>
      <w:r w:rsidRPr="00DF340A">
        <w:rPr>
          <w:rFonts w:ascii="Times New Roman" w:hAnsi="Times New Roman" w:cs="Times New Roman"/>
          <w:sz w:val="28"/>
          <w:szCs w:val="28"/>
        </w:rPr>
        <w:t xml:space="preserve"> размещенных в единой информационной системе извещений.</w:t>
      </w:r>
    </w:p>
    <w:p w:rsidR="002B40D9" w:rsidRPr="00DF340A" w:rsidRDefault="002B40D9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40A">
        <w:rPr>
          <w:rFonts w:ascii="Times New Roman" w:hAnsi="Times New Roman" w:cs="Times New Roman"/>
          <w:sz w:val="28"/>
          <w:szCs w:val="28"/>
        </w:rPr>
        <w:t>- 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Федерации, актуализации существующих нормативных правовых актов в сфере закупок товаров, работ, услуг, проведение семинаров по изменениям законодательства о контрактной системе для муниципальных заказчиков и предпринимателей.</w:t>
      </w:r>
    </w:p>
    <w:p w:rsidR="0077051C" w:rsidRPr="00DF340A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51C" w:rsidRPr="00DF340A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51C" w:rsidRPr="00DF340A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51C" w:rsidRPr="003F31F0" w:rsidRDefault="00910036" w:rsidP="0077051C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40A">
        <w:rPr>
          <w:rFonts w:ascii="Times New Roman" w:hAnsi="Times New Roman" w:cs="Times New Roman"/>
          <w:b/>
          <w:sz w:val="28"/>
          <w:szCs w:val="28"/>
        </w:rPr>
        <w:t>Н</w:t>
      </w:r>
      <w:r w:rsidR="0077051C" w:rsidRPr="00DF340A">
        <w:rPr>
          <w:rFonts w:ascii="Times New Roman" w:hAnsi="Times New Roman" w:cs="Times New Roman"/>
          <w:b/>
          <w:sz w:val="28"/>
          <w:szCs w:val="28"/>
        </w:rPr>
        <w:t xml:space="preserve">ачальник                                                                       </w:t>
      </w:r>
      <w:r w:rsidR="00366F30" w:rsidRPr="00DF340A">
        <w:rPr>
          <w:rFonts w:ascii="Times New Roman" w:hAnsi="Times New Roman" w:cs="Times New Roman"/>
          <w:b/>
          <w:sz w:val="28"/>
          <w:szCs w:val="28"/>
        </w:rPr>
        <w:t>С.</w:t>
      </w:r>
      <w:r w:rsidRPr="00DF340A">
        <w:rPr>
          <w:rFonts w:ascii="Times New Roman" w:hAnsi="Times New Roman" w:cs="Times New Roman"/>
          <w:b/>
          <w:sz w:val="28"/>
          <w:szCs w:val="28"/>
        </w:rPr>
        <w:t>А</w:t>
      </w:r>
      <w:r w:rsidR="0077051C" w:rsidRPr="00DF34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F340A">
        <w:rPr>
          <w:rFonts w:ascii="Times New Roman" w:hAnsi="Times New Roman" w:cs="Times New Roman"/>
          <w:b/>
          <w:sz w:val="28"/>
          <w:szCs w:val="28"/>
        </w:rPr>
        <w:t>Антонова</w:t>
      </w:r>
      <w:bookmarkStart w:id="0" w:name="_GoBack"/>
      <w:bookmarkEnd w:id="0"/>
    </w:p>
    <w:p w:rsidR="0077051C" w:rsidRPr="00546380" w:rsidRDefault="0077051C" w:rsidP="0054638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051C" w:rsidRPr="00546380" w:rsidSect="00022C71">
      <w:pgSz w:w="11906" w:h="16838" w:code="9"/>
      <w:pgMar w:top="794" w:right="849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80" w:rsidRDefault="00B92080" w:rsidP="00EE17CD">
      <w:pPr>
        <w:spacing w:after="0" w:line="240" w:lineRule="auto"/>
      </w:pPr>
      <w:r>
        <w:separator/>
      </w:r>
    </w:p>
  </w:endnote>
  <w:endnote w:type="continuationSeparator" w:id="0">
    <w:p w:rsidR="00B92080" w:rsidRDefault="00B92080" w:rsidP="00EE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80" w:rsidRDefault="00B92080" w:rsidP="00EE17CD">
      <w:pPr>
        <w:spacing w:after="0" w:line="240" w:lineRule="auto"/>
      </w:pPr>
      <w:r>
        <w:separator/>
      </w:r>
    </w:p>
  </w:footnote>
  <w:footnote w:type="continuationSeparator" w:id="0">
    <w:p w:rsidR="00B92080" w:rsidRDefault="00B92080" w:rsidP="00EE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7BBF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D3"/>
    <w:rsid w:val="000109A0"/>
    <w:rsid w:val="00011938"/>
    <w:rsid w:val="00021DA4"/>
    <w:rsid w:val="00022C71"/>
    <w:rsid w:val="00030CFB"/>
    <w:rsid w:val="00035091"/>
    <w:rsid w:val="000543D2"/>
    <w:rsid w:val="0005534F"/>
    <w:rsid w:val="000600A2"/>
    <w:rsid w:val="00075C79"/>
    <w:rsid w:val="0008015F"/>
    <w:rsid w:val="000919E5"/>
    <w:rsid w:val="0009501D"/>
    <w:rsid w:val="000A3158"/>
    <w:rsid w:val="000A3943"/>
    <w:rsid w:val="000B0EA1"/>
    <w:rsid w:val="000C17B3"/>
    <w:rsid w:val="000D698C"/>
    <w:rsid w:val="000E37DE"/>
    <w:rsid w:val="001078B4"/>
    <w:rsid w:val="001428FB"/>
    <w:rsid w:val="0015051A"/>
    <w:rsid w:val="00174198"/>
    <w:rsid w:val="001827BE"/>
    <w:rsid w:val="001C1A88"/>
    <w:rsid w:val="001C4370"/>
    <w:rsid w:val="001F24AF"/>
    <w:rsid w:val="002177EA"/>
    <w:rsid w:val="00262050"/>
    <w:rsid w:val="002728EC"/>
    <w:rsid w:val="00290EB4"/>
    <w:rsid w:val="0029629B"/>
    <w:rsid w:val="002B40D9"/>
    <w:rsid w:val="002D6C48"/>
    <w:rsid w:val="00325AF0"/>
    <w:rsid w:val="00347A1C"/>
    <w:rsid w:val="003573F3"/>
    <w:rsid w:val="00360F6D"/>
    <w:rsid w:val="00366F30"/>
    <w:rsid w:val="003A2808"/>
    <w:rsid w:val="003A4426"/>
    <w:rsid w:val="003B38AA"/>
    <w:rsid w:val="003B7C87"/>
    <w:rsid w:val="003D0245"/>
    <w:rsid w:val="003E40A9"/>
    <w:rsid w:val="003F0505"/>
    <w:rsid w:val="003F3C8E"/>
    <w:rsid w:val="0042038F"/>
    <w:rsid w:val="0042715D"/>
    <w:rsid w:val="00450A4F"/>
    <w:rsid w:val="00465F36"/>
    <w:rsid w:val="00493B8C"/>
    <w:rsid w:val="004A44D3"/>
    <w:rsid w:val="004B21F7"/>
    <w:rsid w:val="004E7F86"/>
    <w:rsid w:val="005256D7"/>
    <w:rsid w:val="0053347A"/>
    <w:rsid w:val="0053353E"/>
    <w:rsid w:val="00543BE6"/>
    <w:rsid w:val="00546380"/>
    <w:rsid w:val="0055250E"/>
    <w:rsid w:val="0057578A"/>
    <w:rsid w:val="00592651"/>
    <w:rsid w:val="00597F57"/>
    <w:rsid w:val="005A1D47"/>
    <w:rsid w:val="005F67A2"/>
    <w:rsid w:val="00621A4A"/>
    <w:rsid w:val="00680CC4"/>
    <w:rsid w:val="0069265F"/>
    <w:rsid w:val="006A0301"/>
    <w:rsid w:val="006B4BD9"/>
    <w:rsid w:val="006C16BC"/>
    <w:rsid w:val="006C3199"/>
    <w:rsid w:val="006E6584"/>
    <w:rsid w:val="00755C82"/>
    <w:rsid w:val="0077051C"/>
    <w:rsid w:val="00787561"/>
    <w:rsid w:val="007D700C"/>
    <w:rsid w:val="007E26FF"/>
    <w:rsid w:val="007F2A91"/>
    <w:rsid w:val="00814131"/>
    <w:rsid w:val="00847189"/>
    <w:rsid w:val="008615A0"/>
    <w:rsid w:val="008E448C"/>
    <w:rsid w:val="008E764C"/>
    <w:rsid w:val="008F107E"/>
    <w:rsid w:val="008F488F"/>
    <w:rsid w:val="00910036"/>
    <w:rsid w:val="00911AE1"/>
    <w:rsid w:val="00931042"/>
    <w:rsid w:val="00934ED2"/>
    <w:rsid w:val="00934EF5"/>
    <w:rsid w:val="00970235"/>
    <w:rsid w:val="00982668"/>
    <w:rsid w:val="00990674"/>
    <w:rsid w:val="009B49C8"/>
    <w:rsid w:val="009B5B80"/>
    <w:rsid w:val="009B6D1E"/>
    <w:rsid w:val="00A01E1D"/>
    <w:rsid w:val="00A0335B"/>
    <w:rsid w:val="00A202CA"/>
    <w:rsid w:val="00A36324"/>
    <w:rsid w:val="00A808C0"/>
    <w:rsid w:val="00A8643A"/>
    <w:rsid w:val="00A96E08"/>
    <w:rsid w:val="00AA283F"/>
    <w:rsid w:val="00AE3D8C"/>
    <w:rsid w:val="00B056B3"/>
    <w:rsid w:val="00B12050"/>
    <w:rsid w:val="00B43363"/>
    <w:rsid w:val="00B44A44"/>
    <w:rsid w:val="00B55F14"/>
    <w:rsid w:val="00B66A90"/>
    <w:rsid w:val="00B86649"/>
    <w:rsid w:val="00B92080"/>
    <w:rsid w:val="00BA2E5F"/>
    <w:rsid w:val="00BA7056"/>
    <w:rsid w:val="00BB040A"/>
    <w:rsid w:val="00BC5A7D"/>
    <w:rsid w:val="00C12708"/>
    <w:rsid w:val="00C13A97"/>
    <w:rsid w:val="00C30CA8"/>
    <w:rsid w:val="00C97C45"/>
    <w:rsid w:val="00CD2941"/>
    <w:rsid w:val="00CD2BE3"/>
    <w:rsid w:val="00CF31D8"/>
    <w:rsid w:val="00D12D3D"/>
    <w:rsid w:val="00D4282A"/>
    <w:rsid w:val="00D8429D"/>
    <w:rsid w:val="00DA3B58"/>
    <w:rsid w:val="00DA5970"/>
    <w:rsid w:val="00DD33A2"/>
    <w:rsid w:val="00DD48A5"/>
    <w:rsid w:val="00DF2009"/>
    <w:rsid w:val="00DF340A"/>
    <w:rsid w:val="00E0626C"/>
    <w:rsid w:val="00E14FEE"/>
    <w:rsid w:val="00E24A6A"/>
    <w:rsid w:val="00E47D8C"/>
    <w:rsid w:val="00E61498"/>
    <w:rsid w:val="00E6790B"/>
    <w:rsid w:val="00E73E12"/>
    <w:rsid w:val="00E84BED"/>
    <w:rsid w:val="00EE17CD"/>
    <w:rsid w:val="00EE2F94"/>
    <w:rsid w:val="00EE47BA"/>
    <w:rsid w:val="00F014B4"/>
    <w:rsid w:val="00F27E7C"/>
    <w:rsid w:val="00F32FC6"/>
    <w:rsid w:val="00F33415"/>
    <w:rsid w:val="00F45F8D"/>
    <w:rsid w:val="00F52DA3"/>
    <w:rsid w:val="00F75270"/>
    <w:rsid w:val="00FA1337"/>
    <w:rsid w:val="00FE3B13"/>
    <w:rsid w:val="00FE4C6A"/>
    <w:rsid w:val="00FE5B2E"/>
    <w:rsid w:val="00FF080D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16C9"/>
  <w15:chartTrackingRefBased/>
  <w15:docId w15:val="{8DBD74FD-BE7C-458D-8027-37A1B063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4D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A44D3"/>
  </w:style>
  <w:style w:type="paragraph" w:styleId="a5">
    <w:name w:val="header"/>
    <w:basedOn w:val="a"/>
    <w:link w:val="a6"/>
    <w:uiPriority w:val="99"/>
    <w:unhideWhenUsed/>
    <w:rsid w:val="00EE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7CD"/>
  </w:style>
  <w:style w:type="paragraph" w:styleId="a7">
    <w:name w:val="footer"/>
    <w:basedOn w:val="a"/>
    <w:link w:val="a8"/>
    <w:uiPriority w:val="99"/>
    <w:unhideWhenUsed/>
    <w:rsid w:val="00EE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7CD"/>
  </w:style>
  <w:style w:type="paragraph" w:styleId="a9">
    <w:name w:val="Balloon Text"/>
    <w:basedOn w:val="a"/>
    <w:link w:val="aa"/>
    <w:uiPriority w:val="99"/>
    <w:semiHidden/>
    <w:unhideWhenUsed/>
    <w:rsid w:val="0091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1AE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E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B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B40D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06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739835C707F0A24BA8437FBB3D7367BF9E23FD574E4AD174D175680F7DE5DFA593322A69BD6C2986BE0D043DF359AFF6CE99E72C7C8A0C0Cz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&#1099;%20&#1088;&#1072;&#1079;&#1084;&#1077;&#1097;&#1077;&#1085;&#1085;&#1099;&#1077;%20&#1085;&#1072;%20&#1071;&#1082;&#1091;&#1090;&#1089;&#1082;.&#1056;&#1060;\&#1054;&#1090;&#1095;&#1077;&#1090;%20&#1087;&#1086;%20&#1084;&#1086;&#1085;&#1080;&#1090;&#1086;&#1088;&#1080;&#1085;&#1075;&#1091;%20&#1079;&#1072;&#1082;&#1091;&#1087;&#1086;&#1082;%20&#1076;&#1083;&#1103;%20&#1089;&#1072;&#1081;&#1090;&#1072;\&#1054;&#1090;&#1095;&#1077;&#1090;%20&#1079;&#1072;%202022%20&#1075;&#1086;&#1076;\&#1069;&#1082;&#1086;&#1085;&#1086;&#1084;&#1080;&#1103;%202022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54;&#1090;&#1095;&#1077;&#1090;&#1099;%20&#1088;&#1072;&#1079;&#1084;&#1077;&#1097;&#1077;&#1085;&#1085;&#1099;&#1077;%20&#1085;&#1072;%20&#1071;&#1082;&#1091;&#1090;&#1089;&#1082;.&#1056;&#1060;\&#1054;&#1090;&#1095;&#1077;&#1090;%20&#1087;&#1086;%20&#1084;&#1086;&#1085;&#1080;&#1090;&#1086;&#1088;&#1080;&#1085;&#1075;&#1091;%20&#1079;&#1072;&#1082;&#1091;&#1087;&#1086;&#1082;%20&#1076;&#1083;&#1103;%20&#1089;&#1072;&#1081;&#1090;&#1072;\&#1054;&#1090;&#1095;&#1077;&#1090;%20&#1079;&#1072;%202022%20&#1075;&#1086;&#1076;\&#1069;&#1082;&#1086;&#1085;&#1086;&#1084;&#1080;&#1103;%202022%20&#1075;&#1086;&#1076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vcevaMM\Desktop\&#1043;&#1086;&#1076;&#1086;&#1074;&#1086;&#1081;%20&#1086;&#1090;&#1095;&#1077;&#1090;%20&#1079;&#1072;%202022%20&#1075;&#1086;&#1076;\&#1057;&#1074;&#1086;&#1076;&#1085;&#1099;&#1077;%20&#1076;&#1072;&#1085;&#1085;&#1099;&#1077;%20&#1079;&#1072;%202%20&#1075;&#1086;&#1076;&#107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yshevaMI\AppData\Local\Microsoft\Windows\INetCache\Content.Outlook\XNIXRKSX\&#1069;&#1082;&#1086;&#1085;&#1086;&#1084;&#1080;&#1103;%202022%20&#1075;&#1086;&#1076;&#107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Лист1!$D$10</c:f>
              <c:strCache>
                <c:ptCount val="1"/>
                <c:pt idx="0">
                  <c:v>Экономия бюджетных средств по проведенным процедурам, 
в млн.руб.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Лист1!$E$9:$F$9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Лист1!$E$10:$F$10</c:f>
              <c:numCache>
                <c:formatCode>_-* #,##0.0\ _₽_-;\-* #,##0.0\ _₽_-;_-* "-"??\ _₽_-;_-@_-</c:formatCode>
                <c:ptCount val="2"/>
                <c:pt idx="0">
                  <c:v>215.6</c:v>
                </c:pt>
                <c:pt idx="1">
                  <c:v>317.55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07-4110-B86D-D6395D76B1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7156543"/>
        <c:axId val="2127155711"/>
      </c:barChart>
      <c:catAx>
        <c:axId val="212715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7155711"/>
        <c:crosses val="autoZero"/>
        <c:auto val="1"/>
        <c:lblAlgn val="ctr"/>
        <c:lblOffset val="100"/>
        <c:noMultiLvlLbl val="0"/>
      </c:catAx>
      <c:valAx>
        <c:axId val="212715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715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baseline="0">
                <a:effectLst/>
              </a:rPr>
              <a:t>Структура закупок в разрезе способов определения поставщика (подрядчика, исполнителя)   </a:t>
            </a:r>
            <a:endParaRPr lang="ru-RU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10-4105-935C-57C6B6680E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10-4105-935C-57C6B6680E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310-4105-935C-57C6B6680E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310-4105-935C-57C6B6680E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310-4105-935C-57C6B6680EB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Лист3!$A$28:$A$32</c:f>
              <c:strCache>
                <c:ptCount val="5"/>
                <c:pt idx="0">
                  <c:v>Электронный аукцион</c:v>
                </c:pt>
                <c:pt idx="1">
                  <c:v>Конкурсы</c:v>
                </c:pt>
                <c:pt idx="2">
                  <c:v>Запрос котировок</c:v>
                </c:pt>
                <c:pt idx="3">
                  <c:v>Единственный поставщик (закупки малого объема)</c:v>
                </c:pt>
                <c:pt idx="4">
                  <c:v>Единственный поставщик (ст. 93 Закона о контрактной системе)</c:v>
                </c:pt>
              </c:strCache>
            </c:strRef>
          </c:cat>
          <c:val>
            <c:numRef>
              <c:f>Лист3!$B$28:$B$32</c:f>
              <c:numCache>
                <c:formatCode>0.00</c:formatCode>
                <c:ptCount val="5"/>
                <c:pt idx="0">
                  <c:v>8.9886808138984655</c:v>
                </c:pt>
                <c:pt idx="1">
                  <c:v>51.647676160587999</c:v>
                </c:pt>
                <c:pt idx="2">
                  <c:v>1.1001089005406086</c:v>
                </c:pt>
                <c:pt idx="3">
                  <c:v>9.994805213168986</c:v>
                </c:pt>
                <c:pt idx="4">
                  <c:v>28.26872891180394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10-4105-935C-57C6B6680EB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Количество размещенных закупок за 2021-2022 гг. 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Лист1!$A$19:$A$21</c:f>
              <c:strCache>
                <c:ptCount val="3"/>
                <c:pt idx="0">
                  <c:v>Электронный аукцион</c:v>
                </c:pt>
                <c:pt idx="1">
                  <c:v>Конкурсы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Лист1!$B$19:$B$21</c:f>
              <c:numCache>
                <c:formatCode>General</c:formatCode>
                <c:ptCount val="3"/>
                <c:pt idx="0">
                  <c:v>593</c:v>
                </c:pt>
                <c:pt idx="1">
                  <c:v>114</c:v>
                </c:pt>
                <c:pt idx="2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01-4E60-B1EE-AC6173BA7DDB}"/>
            </c:ext>
          </c:extLst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Лист1!$A$19:$A$21</c:f>
              <c:strCache>
                <c:ptCount val="3"/>
                <c:pt idx="0">
                  <c:v>Электронный аукцион</c:v>
                </c:pt>
                <c:pt idx="1">
                  <c:v>Конкурсы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Лист1!$C$19:$C$21</c:f>
              <c:numCache>
                <c:formatCode>General</c:formatCode>
                <c:ptCount val="3"/>
                <c:pt idx="0">
                  <c:v>633</c:v>
                </c:pt>
                <c:pt idx="1">
                  <c:v>158</c:v>
                </c:pt>
                <c:pt idx="2">
                  <c:v>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01-4E60-B1EE-AC6173BA7D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0045696"/>
        <c:axId val="1340041536"/>
      </c:barChart>
      <c:catAx>
        <c:axId val="134004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041536"/>
        <c:crosses val="autoZero"/>
        <c:auto val="1"/>
        <c:lblAlgn val="ctr"/>
        <c:lblOffset val="100"/>
        <c:noMultiLvlLbl val="0"/>
      </c:catAx>
      <c:valAx>
        <c:axId val="134004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0456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Количество расторгнутых контрактов (шт.)</a:t>
            </a:r>
            <a:endParaRPr lang="ru-RU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Лист3!$A$39:$A$41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Лист3!$B$39:$B$41</c:f>
              <c:numCache>
                <c:formatCode>General</c:formatCode>
                <c:ptCount val="3"/>
                <c:pt idx="0">
                  <c:v>186</c:v>
                </c:pt>
                <c:pt idx="1">
                  <c:v>369</c:v>
                </c:pt>
                <c:pt idx="2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19-4162-9572-54AB3D963C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51519200"/>
        <c:axId val="1551518368"/>
      </c:barChart>
      <c:catAx>
        <c:axId val="155151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1518368"/>
        <c:crosses val="autoZero"/>
        <c:auto val="1"/>
        <c:lblAlgn val="ctr"/>
        <c:lblOffset val="100"/>
        <c:noMultiLvlLbl val="0"/>
      </c:catAx>
      <c:valAx>
        <c:axId val="155151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151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М. Сивцева</dc:creator>
  <cp:keywords/>
  <dc:description/>
  <cp:lastModifiedBy>Мария И. Малышева</cp:lastModifiedBy>
  <cp:revision>3</cp:revision>
  <cp:lastPrinted>2022-01-28T08:11:00Z</cp:lastPrinted>
  <dcterms:created xsi:type="dcterms:W3CDTF">2023-09-19T07:49:00Z</dcterms:created>
  <dcterms:modified xsi:type="dcterms:W3CDTF">2023-09-19T07:49:00Z</dcterms:modified>
</cp:coreProperties>
</file>