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4F" w:rsidRPr="00546380" w:rsidRDefault="00D12D3D" w:rsidP="00546380">
      <w:pPr>
        <w:spacing w:after="0" w:line="240" w:lineRule="auto"/>
        <w:ind w:firstLine="709"/>
        <w:jc w:val="center"/>
        <w:rPr>
          <w:rFonts w:ascii="Times New Roman" w:hAnsi="Times New Roman" w:cs="Times New Roman"/>
          <w:b/>
          <w:sz w:val="28"/>
          <w:szCs w:val="28"/>
        </w:rPr>
      </w:pPr>
      <w:bookmarkStart w:id="0" w:name="_GoBack"/>
      <w:bookmarkEnd w:id="0"/>
      <w:r w:rsidRPr="00546380">
        <w:rPr>
          <w:rFonts w:ascii="Times New Roman" w:hAnsi="Times New Roman" w:cs="Times New Roman"/>
          <w:b/>
          <w:sz w:val="28"/>
          <w:szCs w:val="28"/>
        </w:rPr>
        <w:t>Отчет о результатах мониторинга закупок для обеспечения муниципальных нужд г</w:t>
      </w:r>
      <w:r w:rsidR="00450A4F" w:rsidRPr="00546380">
        <w:rPr>
          <w:rFonts w:ascii="Times New Roman" w:hAnsi="Times New Roman" w:cs="Times New Roman"/>
          <w:b/>
          <w:sz w:val="28"/>
          <w:szCs w:val="28"/>
        </w:rPr>
        <w:t xml:space="preserve">ородского округа «город Якутск» </w:t>
      </w:r>
    </w:p>
    <w:p w:rsidR="004A44D3" w:rsidRPr="00546380" w:rsidRDefault="00D12D3D" w:rsidP="00546380">
      <w:pPr>
        <w:spacing w:after="0" w:line="240" w:lineRule="auto"/>
        <w:ind w:firstLine="709"/>
        <w:jc w:val="center"/>
        <w:rPr>
          <w:rFonts w:ascii="Times New Roman" w:hAnsi="Times New Roman" w:cs="Times New Roman"/>
          <w:b/>
          <w:sz w:val="28"/>
          <w:szCs w:val="28"/>
        </w:rPr>
      </w:pPr>
      <w:r w:rsidRPr="00546380">
        <w:rPr>
          <w:rFonts w:ascii="Times New Roman" w:hAnsi="Times New Roman" w:cs="Times New Roman"/>
          <w:b/>
          <w:sz w:val="28"/>
          <w:szCs w:val="28"/>
        </w:rPr>
        <w:t>за 2019 год</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основными задачами Управления муниципальных закупок Окружной администрации города Якутска являются: </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повышение эффективности, результативности осуществления закупок товаров, работ, услуг;</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обеспечение гласности и прозрачности осуществления закупок товаров, работ, услуг;</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предотвращение коррупции и других злоупотреблений в сфере закупок товаров, работ, услуг;</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соблюдение требований законодательства Российской Федерации в сфере закупок.</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Управление муниципальных закупок размещает закупки за </w:t>
      </w:r>
      <w:r w:rsidR="00DA5970" w:rsidRPr="00546380">
        <w:rPr>
          <w:rFonts w:ascii="Times New Roman" w:hAnsi="Times New Roman" w:cs="Times New Roman"/>
          <w:sz w:val="28"/>
          <w:szCs w:val="28"/>
        </w:rPr>
        <w:t>210</w:t>
      </w:r>
      <w:r w:rsidRPr="00546380">
        <w:rPr>
          <w:rFonts w:ascii="Times New Roman" w:hAnsi="Times New Roman" w:cs="Times New Roman"/>
          <w:sz w:val="28"/>
          <w:szCs w:val="28"/>
        </w:rPr>
        <w:t xml:space="preserve"> заказчиков городского округа «город Якутск». Это муниципальные и бюджетные учреждения городского округа «город Якутск»: школы, детские сады, учреждения культуры, муниципальные казенные учреждения, структурные подразделения Окружной администрации города Якутска.</w:t>
      </w:r>
    </w:p>
    <w:p w:rsidR="004A44D3" w:rsidRDefault="00F45F8D"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В соответствии с постановлением Окружной администрацией города Якутска от 27 октября 2015 года № 279п «О проведении мониторинга закупок для обеспечения муниципальных нужд городского округа «город Якутск»», постановлением от 07 апреля 2017 года № 98п «О внесении изменений в постановление Окружной администрации города Якутска от 27.10.2015 № 279п», Управлением муниципальных закупок проведена комплексная оценка эффективности деятельности заказчиков городского округа «город Якутск» за 2019 год. </w:t>
      </w:r>
    </w:p>
    <w:p w:rsidR="00546380" w:rsidRPr="00546380" w:rsidRDefault="00325AF0" w:rsidP="00325AF0">
      <w:pPr>
        <w:pStyle w:val="a3"/>
        <w:jc w:val="both"/>
        <w:rPr>
          <w:rFonts w:ascii="Times New Roman" w:hAnsi="Times New Roman" w:cs="Times New Roman"/>
          <w:sz w:val="28"/>
          <w:szCs w:val="28"/>
        </w:rPr>
      </w:pPr>
      <w:r>
        <w:rPr>
          <w:noProof/>
          <w:lang w:eastAsia="ru-RU"/>
        </w:rPr>
        <w:drawing>
          <wp:inline distT="0" distB="0" distL="0" distR="0" wp14:anchorId="1EDB6835" wp14:editId="3FA99F03">
            <wp:extent cx="5941060" cy="2571750"/>
            <wp:effectExtent l="0" t="0" r="254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45F8D" w:rsidRPr="00546380" w:rsidRDefault="00290EB4"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Полученные по результатам мониторинга сведения свидетельствуют о </w:t>
      </w:r>
      <w:r w:rsidR="003B38AA">
        <w:rPr>
          <w:rFonts w:ascii="Times New Roman" w:hAnsi="Times New Roman" w:cs="Times New Roman"/>
          <w:sz w:val="28"/>
          <w:szCs w:val="28"/>
        </w:rPr>
        <w:t>снижении</w:t>
      </w:r>
      <w:r w:rsidRPr="00546380">
        <w:rPr>
          <w:rFonts w:ascii="Times New Roman" w:hAnsi="Times New Roman" w:cs="Times New Roman"/>
          <w:sz w:val="28"/>
          <w:szCs w:val="28"/>
        </w:rPr>
        <w:t xml:space="preserve"> условной экономии денежных средств в 2019 году по сравнению с аналогичным периодом прошлого года. </w:t>
      </w:r>
      <w:r w:rsidR="00325AF0">
        <w:rPr>
          <w:rFonts w:ascii="Times New Roman" w:hAnsi="Times New Roman" w:cs="Times New Roman"/>
          <w:sz w:val="28"/>
          <w:szCs w:val="28"/>
        </w:rPr>
        <w:t xml:space="preserve">Также по сравнению с прошлым годом процент экономии </w:t>
      </w:r>
      <w:r w:rsidR="00325AF0" w:rsidRPr="001E4A8A">
        <w:rPr>
          <w:rFonts w:ascii="Times New Roman" w:hAnsi="Times New Roman" w:cs="Times New Roman"/>
          <w:sz w:val="28"/>
          <w:szCs w:val="28"/>
        </w:rPr>
        <w:t>денежных средств</w:t>
      </w:r>
      <w:r w:rsidR="00325AF0">
        <w:rPr>
          <w:rFonts w:ascii="Times New Roman" w:hAnsi="Times New Roman" w:cs="Times New Roman"/>
          <w:sz w:val="28"/>
          <w:szCs w:val="28"/>
        </w:rPr>
        <w:t xml:space="preserve"> уменьшился с 12,96% до 7,79%.</w:t>
      </w:r>
    </w:p>
    <w:p w:rsidR="00290EB4" w:rsidRPr="00546380" w:rsidRDefault="00290EB4"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lastRenderedPageBreak/>
        <w:t xml:space="preserve">Согласно ч. 1 ст. 30 Федерального закона о контрактной системе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Муниципальные заказчики городского округа «город Якутск» самостоятельно определяют виды товаров, работ, услуг, которые могут поставить, выполнить, оказать субъекты малого предпринимательства, социально ориентированные некоммерческие организации. </w:t>
      </w:r>
    </w:p>
    <w:p w:rsidR="00290EB4" w:rsidRPr="00546380" w:rsidRDefault="00290EB4" w:rsidP="00546380">
      <w:pPr>
        <w:pStyle w:val="a3"/>
        <w:ind w:firstLine="709"/>
        <w:jc w:val="both"/>
        <w:rPr>
          <w:rFonts w:ascii="Times New Roman" w:hAnsi="Times New Roman" w:cs="Times New Roman"/>
          <w:color w:val="FF0000"/>
          <w:sz w:val="28"/>
          <w:szCs w:val="28"/>
        </w:rPr>
      </w:pPr>
      <w:r w:rsidRPr="00546380">
        <w:rPr>
          <w:rFonts w:ascii="Times New Roman" w:hAnsi="Times New Roman" w:cs="Times New Roman"/>
          <w:sz w:val="28"/>
          <w:szCs w:val="28"/>
        </w:rPr>
        <w:t xml:space="preserve">В 2019 году опубликовано муниципальных закупок для субъектов малого предпринимательства, социально ориентированных некоммерческих организаций на </w:t>
      </w:r>
      <w:r w:rsidR="0042715D" w:rsidRPr="00546380">
        <w:rPr>
          <w:rFonts w:ascii="Times New Roman" w:hAnsi="Times New Roman" w:cs="Times New Roman"/>
          <w:sz w:val="28"/>
          <w:szCs w:val="28"/>
        </w:rPr>
        <w:t>сумму более 988,8 млн. рублей, что составляет 27</w:t>
      </w:r>
      <w:r w:rsidR="003F0505" w:rsidRPr="00546380">
        <w:rPr>
          <w:rFonts w:ascii="Times New Roman" w:hAnsi="Times New Roman" w:cs="Times New Roman"/>
          <w:sz w:val="28"/>
          <w:szCs w:val="28"/>
        </w:rPr>
        <w:t>,</w:t>
      </w:r>
      <w:r w:rsidR="0042715D" w:rsidRPr="00546380">
        <w:rPr>
          <w:rFonts w:ascii="Times New Roman" w:hAnsi="Times New Roman" w:cs="Times New Roman"/>
          <w:sz w:val="28"/>
          <w:szCs w:val="28"/>
        </w:rPr>
        <w:t>1</w:t>
      </w:r>
      <w:r w:rsidRPr="00546380">
        <w:rPr>
          <w:rFonts w:ascii="Times New Roman" w:hAnsi="Times New Roman" w:cs="Times New Roman"/>
          <w:sz w:val="28"/>
          <w:szCs w:val="28"/>
        </w:rPr>
        <w:t xml:space="preserve">% от объема закупок в 2019 году.  </w:t>
      </w:r>
    </w:p>
    <w:p w:rsidR="00450A4F" w:rsidRPr="00546380" w:rsidRDefault="00450A4F" w:rsidP="00546380">
      <w:pPr>
        <w:pStyle w:val="a3"/>
        <w:ind w:firstLine="709"/>
        <w:jc w:val="both"/>
        <w:rPr>
          <w:rFonts w:ascii="Times New Roman" w:hAnsi="Times New Roman" w:cs="Times New Roman"/>
          <w:sz w:val="28"/>
          <w:szCs w:val="28"/>
        </w:rPr>
      </w:pPr>
    </w:p>
    <w:p w:rsidR="002B40D9" w:rsidRPr="00546380" w:rsidRDefault="002B40D9" w:rsidP="00546380">
      <w:pPr>
        <w:pStyle w:val="ad"/>
        <w:numPr>
          <w:ilvl w:val="0"/>
          <w:numId w:val="1"/>
        </w:numPr>
        <w:tabs>
          <w:tab w:val="left" w:pos="993"/>
        </w:tabs>
        <w:spacing w:after="0" w:line="240" w:lineRule="auto"/>
        <w:ind w:left="0" w:firstLine="709"/>
        <w:jc w:val="center"/>
        <w:rPr>
          <w:rFonts w:ascii="Times New Roman" w:hAnsi="Times New Roman" w:cs="Times New Roman"/>
          <w:i/>
          <w:sz w:val="28"/>
          <w:szCs w:val="28"/>
        </w:rPr>
      </w:pPr>
      <w:r w:rsidRPr="00546380">
        <w:rPr>
          <w:rFonts w:ascii="Times New Roman" w:hAnsi="Times New Roman" w:cs="Times New Roman"/>
          <w:i/>
          <w:sz w:val="28"/>
          <w:szCs w:val="28"/>
          <w:u w:val="single"/>
        </w:rPr>
        <w:t>Показатели планирования закупок</w:t>
      </w:r>
    </w:p>
    <w:p w:rsidR="002B40D9" w:rsidRPr="00931042" w:rsidRDefault="002B40D9" w:rsidP="0054638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31042">
        <w:rPr>
          <w:rFonts w:ascii="Times New Roman" w:hAnsi="Times New Roman" w:cs="Times New Roman"/>
          <w:sz w:val="28"/>
          <w:szCs w:val="28"/>
        </w:rPr>
        <w:t xml:space="preserve">Анализ планирования закупок по результатам 2019 года показывает, что данный показатель находится </w:t>
      </w:r>
      <w:r w:rsidR="008615A0" w:rsidRPr="00931042">
        <w:rPr>
          <w:rFonts w:ascii="Times New Roman" w:hAnsi="Times New Roman" w:cs="Times New Roman"/>
          <w:sz w:val="28"/>
          <w:szCs w:val="28"/>
        </w:rPr>
        <w:t>на низкоэффективном уровне (0,76</w:t>
      </w:r>
      <w:r w:rsidRPr="00931042">
        <w:rPr>
          <w:rFonts w:ascii="Times New Roman" w:hAnsi="Times New Roman" w:cs="Times New Roman"/>
          <w:sz w:val="28"/>
          <w:szCs w:val="28"/>
        </w:rPr>
        <w:t>%).</w:t>
      </w:r>
    </w:p>
    <w:p w:rsidR="002B40D9" w:rsidRPr="00546380" w:rsidRDefault="002B40D9" w:rsidP="0054638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31042">
        <w:rPr>
          <w:rFonts w:ascii="Times New Roman" w:hAnsi="Times New Roman" w:cs="Times New Roman"/>
          <w:sz w:val="28"/>
          <w:szCs w:val="28"/>
        </w:rPr>
        <w:t xml:space="preserve">По состоянию на 31 декабря 2019 года количество осуществленных закупок в сроки, установленные в плане-графике, составило </w:t>
      </w:r>
      <w:r w:rsidR="008615A0" w:rsidRPr="00931042">
        <w:rPr>
          <w:rFonts w:ascii="Times New Roman" w:hAnsi="Times New Roman" w:cs="Times New Roman"/>
          <w:sz w:val="28"/>
          <w:szCs w:val="28"/>
        </w:rPr>
        <w:t>2019</w:t>
      </w:r>
      <w:r w:rsidRPr="00931042">
        <w:rPr>
          <w:rFonts w:ascii="Times New Roman" w:hAnsi="Times New Roman" w:cs="Times New Roman"/>
          <w:sz w:val="28"/>
          <w:szCs w:val="28"/>
        </w:rPr>
        <w:t xml:space="preserve"> закупок, количество закупок в плане-графике – </w:t>
      </w:r>
      <w:r w:rsidR="008615A0" w:rsidRPr="00931042">
        <w:rPr>
          <w:rFonts w:ascii="Times New Roman" w:hAnsi="Times New Roman" w:cs="Times New Roman"/>
          <w:sz w:val="28"/>
          <w:szCs w:val="28"/>
        </w:rPr>
        <w:t>2653</w:t>
      </w:r>
      <w:r w:rsidRPr="00931042">
        <w:rPr>
          <w:rFonts w:ascii="Times New Roman" w:hAnsi="Times New Roman" w:cs="Times New Roman"/>
          <w:sz w:val="28"/>
          <w:szCs w:val="28"/>
        </w:rPr>
        <w:t>.</w:t>
      </w:r>
      <w:r w:rsidRPr="00546380">
        <w:rPr>
          <w:rFonts w:ascii="Times New Roman" w:hAnsi="Times New Roman" w:cs="Times New Roman"/>
          <w:sz w:val="28"/>
          <w:szCs w:val="28"/>
        </w:rPr>
        <w:t xml:space="preserve"> </w:t>
      </w:r>
    </w:p>
    <w:p w:rsidR="002B40D9" w:rsidRPr="00546380" w:rsidRDefault="002B40D9" w:rsidP="0054638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46380">
        <w:rPr>
          <w:rFonts w:ascii="Times New Roman" w:eastAsia="Times New Roman" w:hAnsi="Times New Roman" w:cs="Times New Roman"/>
          <w:sz w:val="28"/>
          <w:szCs w:val="28"/>
          <w:lang w:eastAsia="ru-RU"/>
        </w:rPr>
        <w:t>Сроком осуществления закупок товаров, работ, услуг считается месяц и год закупки, указанные в лоте плана-графика.</w:t>
      </w:r>
    </w:p>
    <w:p w:rsidR="002B40D9" w:rsidRPr="00546380" w:rsidRDefault="002B40D9" w:rsidP="00546380">
      <w:pPr>
        <w:tabs>
          <w:tab w:val="left" w:pos="993"/>
        </w:tabs>
        <w:spacing w:after="0" w:line="240" w:lineRule="auto"/>
        <w:ind w:firstLine="709"/>
        <w:jc w:val="both"/>
        <w:rPr>
          <w:rFonts w:ascii="Times New Roman" w:hAnsi="Times New Roman" w:cs="Times New Roman"/>
          <w:i/>
          <w:sz w:val="28"/>
          <w:szCs w:val="28"/>
        </w:rPr>
      </w:pPr>
    </w:p>
    <w:p w:rsidR="002B40D9" w:rsidRPr="00546380" w:rsidRDefault="002B40D9" w:rsidP="00546380">
      <w:pPr>
        <w:pStyle w:val="ad"/>
        <w:numPr>
          <w:ilvl w:val="0"/>
          <w:numId w:val="1"/>
        </w:numPr>
        <w:tabs>
          <w:tab w:val="left" w:pos="567"/>
          <w:tab w:val="left" w:pos="993"/>
        </w:tabs>
        <w:spacing w:after="0" w:line="240" w:lineRule="auto"/>
        <w:ind w:left="0" w:firstLine="709"/>
        <w:jc w:val="center"/>
        <w:rPr>
          <w:rFonts w:ascii="Times New Roman" w:hAnsi="Times New Roman" w:cs="Times New Roman"/>
          <w:sz w:val="28"/>
          <w:szCs w:val="28"/>
        </w:rPr>
      </w:pPr>
      <w:r w:rsidRPr="00546380">
        <w:rPr>
          <w:rFonts w:ascii="Times New Roman" w:hAnsi="Times New Roman" w:cs="Times New Roman"/>
          <w:i/>
          <w:sz w:val="28"/>
          <w:szCs w:val="28"/>
          <w:u w:val="single"/>
        </w:rPr>
        <w:t>Показатели количественного анализа осуществления закупок</w:t>
      </w:r>
    </w:p>
    <w:p w:rsidR="002B40D9" w:rsidRPr="00546380" w:rsidRDefault="00450A4F" w:rsidP="00546380">
      <w:pPr>
        <w:tabs>
          <w:tab w:val="left" w:pos="567"/>
          <w:tab w:val="left" w:pos="993"/>
        </w:tabs>
        <w:spacing w:after="0" w:line="240" w:lineRule="auto"/>
        <w:jc w:val="both"/>
        <w:rPr>
          <w:rFonts w:ascii="Times New Roman" w:hAnsi="Times New Roman" w:cs="Times New Roman"/>
          <w:sz w:val="28"/>
          <w:szCs w:val="28"/>
        </w:rPr>
      </w:pPr>
      <w:r w:rsidRPr="00546380">
        <w:rPr>
          <w:rFonts w:ascii="Times New Roman" w:hAnsi="Times New Roman" w:cs="Times New Roman"/>
          <w:noProof/>
          <w:sz w:val="28"/>
          <w:szCs w:val="28"/>
          <w:lang w:eastAsia="ru-RU"/>
        </w:rPr>
        <w:drawing>
          <wp:inline distT="0" distB="0" distL="0" distR="0" wp14:anchorId="16E90E61" wp14:editId="6A040B96">
            <wp:extent cx="6000750" cy="441007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40D9" w:rsidRPr="00546380" w:rsidRDefault="002B40D9" w:rsidP="00546380">
      <w:pPr>
        <w:tabs>
          <w:tab w:val="left" w:pos="567"/>
          <w:tab w:val="left" w:pos="993"/>
        </w:tabs>
        <w:spacing w:after="0" w:line="240" w:lineRule="auto"/>
        <w:ind w:firstLine="709"/>
        <w:jc w:val="both"/>
        <w:rPr>
          <w:rFonts w:ascii="Times New Roman" w:hAnsi="Times New Roman" w:cs="Times New Roman"/>
          <w:sz w:val="28"/>
          <w:szCs w:val="28"/>
        </w:rPr>
      </w:pPr>
    </w:p>
    <w:p w:rsidR="002B40D9" w:rsidRDefault="002B40D9" w:rsidP="00546380">
      <w:pPr>
        <w:tabs>
          <w:tab w:val="left" w:pos="567"/>
          <w:tab w:val="left" w:pos="993"/>
        </w:tabs>
        <w:spacing w:after="0" w:line="240" w:lineRule="auto"/>
        <w:ind w:firstLine="709"/>
        <w:jc w:val="both"/>
        <w:rPr>
          <w:rFonts w:ascii="Times New Roman" w:hAnsi="Times New Roman" w:cs="Times New Roman"/>
          <w:sz w:val="28"/>
          <w:szCs w:val="28"/>
        </w:rPr>
      </w:pPr>
    </w:p>
    <w:tbl>
      <w:tblPr>
        <w:tblW w:w="9498" w:type="dxa"/>
        <w:tblInd w:w="-147" w:type="dxa"/>
        <w:tblLook w:val="04A0" w:firstRow="1" w:lastRow="0" w:firstColumn="1" w:lastColumn="0" w:noHBand="0" w:noVBand="1"/>
      </w:tblPr>
      <w:tblGrid>
        <w:gridCol w:w="3313"/>
        <w:gridCol w:w="1713"/>
        <w:gridCol w:w="2357"/>
        <w:gridCol w:w="2115"/>
      </w:tblGrid>
      <w:tr w:rsidR="00450A4F" w:rsidRPr="00BA7056" w:rsidTr="00546380">
        <w:trPr>
          <w:trHeight w:val="20"/>
        </w:trPr>
        <w:tc>
          <w:tcPr>
            <w:tcW w:w="3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Способ определения поставщика (подрядчика, исполнителя)</w:t>
            </w:r>
          </w:p>
        </w:tc>
        <w:tc>
          <w:tcPr>
            <w:tcW w:w="1713" w:type="dxa"/>
            <w:tcBorders>
              <w:top w:val="single" w:sz="4" w:space="0" w:color="auto"/>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Количество закупок</w:t>
            </w:r>
          </w:p>
        </w:tc>
        <w:tc>
          <w:tcPr>
            <w:tcW w:w="2357" w:type="dxa"/>
            <w:tcBorders>
              <w:top w:val="single" w:sz="4" w:space="0" w:color="auto"/>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Объем осуществленных закупок, руб.</w:t>
            </w:r>
          </w:p>
        </w:tc>
        <w:tc>
          <w:tcPr>
            <w:tcW w:w="2115" w:type="dxa"/>
            <w:tcBorders>
              <w:top w:val="single" w:sz="4" w:space="0" w:color="auto"/>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Доля</w:t>
            </w:r>
            <w:r w:rsidRPr="00BA7056">
              <w:rPr>
                <w:rFonts w:ascii="Times New Roman" w:eastAsia="Times New Roman" w:hAnsi="Times New Roman" w:cs="Times New Roman"/>
                <w:b/>
                <w:bCs/>
                <w:color w:val="000000"/>
                <w:sz w:val="24"/>
                <w:szCs w:val="24"/>
                <w:lang w:eastAsia="ru-RU"/>
              </w:rPr>
              <w:br/>
              <w:t>от размещенного объема закупок, %</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Электронный аукцион</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862</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3 013 203 877,25</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54,39</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Конкурсы</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160</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565 446 885,89</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10,21</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Запрос котировок</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211</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30 654 564,63</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0,55</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Запрос предложений</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5</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24 317 577,15</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0,44</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Итого конкурентными способами</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1238</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3 633 622 904,92</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65,59</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Единственный поставщик (закупки малого объема)</w:t>
            </w:r>
          </w:p>
        </w:tc>
        <w:tc>
          <w:tcPr>
            <w:tcW w:w="1713" w:type="dxa"/>
            <w:tcBorders>
              <w:top w:val="nil"/>
              <w:left w:val="nil"/>
              <w:bottom w:val="single" w:sz="4" w:space="0" w:color="auto"/>
              <w:right w:val="single" w:sz="4" w:space="0" w:color="auto"/>
            </w:tcBorders>
            <w:shd w:val="clear" w:color="auto" w:fill="auto"/>
            <w:noWrap/>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25 218,00</w:t>
            </w:r>
          </w:p>
        </w:tc>
        <w:tc>
          <w:tcPr>
            <w:tcW w:w="2357" w:type="dxa"/>
            <w:tcBorders>
              <w:top w:val="nil"/>
              <w:left w:val="nil"/>
              <w:bottom w:val="single" w:sz="4" w:space="0" w:color="auto"/>
              <w:right w:val="single" w:sz="4" w:space="0" w:color="auto"/>
            </w:tcBorders>
            <w:shd w:val="clear" w:color="auto" w:fill="auto"/>
            <w:noWrap/>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1 069 649 901,00</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19,31</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Единственный поставщик (ст. 93 Закона о контрактной системе)</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1 457,00</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836 757 519,12</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15,10</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Итого неконкурентными способами</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26 675,00</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1 906 407 420,12</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34,41</w:t>
            </w:r>
          </w:p>
        </w:tc>
      </w:tr>
      <w:tr w:rsidR="00450A4F"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ИТОГО</w:t>
            </w:r>
          </w:p>
        </w:tc>
        <w:tc>
          <w:tcPr>
            <w:tcW w:w="1713"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27 913,00</w:t>
            </w:r>
          </w:p>
        </w:tc>
        <w:tc>
          <w:tcPr>
            <w:tcW w:w="2357"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5 540 030 325,04</w:t>
            </w:r>
          </w:p>
        </w:tc>
        <w:tc>
          <w:tcPr>
            <w:tcW w:w="2115" w:type="dxa"/>
            <w:tcBorders>
              <w:top w:val="nil"/>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100,00</w:t>
            </w:r>
          </w:p>
        </w:tc>
      </w:tr>
    </w:tbl>
    <w:p w:rsidR="00022C71" w:rsidRPr="00546380" w:rsidRDefault="00022C71" w:rsidP="00546380">
      <w:pPr>
        <w:tabs>
          <w:tab w:val="left" w:pos="567"/>
          <w:tab w:val="left" w:pos="993"/>
        </w:tabs>
        <w:spacing w:after="0" w:line="240" w:lineRule="auto"/>
        <w:ind w:firstLine="709"/>
        <w:jc w:val="both"/>
        <w:rPr>
          <w:rFonts w:ascii="Times New Roman" w:hAnsi="Times New Roman" w:cs="Times New Roman"/>
          <w:sz w:val="28"/>
          <w:szCs w:val="28"/>
        </w:rPr>
      </w:pPr>
    </w:p>
    <w:p w:rsidR="002B40D9" w:rsidRDefault="002B40D9" w:rsidP="00546380">
      <w:pPr>
        <w:tabs>
          <w:tab w:val="left" w:pos="567"/>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Анализ структуры закупок, осуществленных в 201</w:t>
      </w:r>
      <w:r w:rsidR="00F014B4" w:rsidRPr="00546380">
        <w:rPr>
          <w:rFonts w:ascii="Times New Roman" w:hAnsi="Times New Roman" w:cs="Times New Roman"/>
          <w:sz w:val="28"/>
          <w:szCs w:val="28"/>
        </w:rPr>
        <w:t>9</w:t>
      </w:r>
      <w:r w:rsidRPr="00546380">
        <w:rPr>
          <w:rFonts w:ascii="Times New Roman" w:hAnsi="Times New Roman" w:cs="Times New Roman"/>
          <w:sz w:val="28"/>
          <w:szCs w:val="28"/>
        </w:rPr>
        <w:t xml:space="preserve"> году, показывает, что преобладающим способом определения поставщиков (подрядчиков, исполнителей) в отчетном периоде является электронный аукцион. Доля эл</w:t>
      </w:r>
      <w:r w:rsidR="00F014B4" w:rsidRPr="00546380">
        <w:rPr>
          <w:rFonts w:ascii="Times New Roman" w:hAnsi="Times New Roman" w:cs="Times New Roman"/>
          <w:sz w:val="28"/>
          <w:szCs w:val="28"/>
        </w:rPr>
        <w:t>ектронных аукционов составляет 54,39</w:t>
      </w:r>
      <w:r w:rsidRPr="00546380">
        <w:rPr>
          <w:rFonts w:ascii="Times New Roman" w:hAnsi="Times New Roman" w:cs="Times New Roman"/>
          <w:sz w:val="28"/>
          <w:szCs w:val="28"/>
        </w:rPr>
        <w:t xml:space="preserve"> % от общего количества размещенных в единой информационной системе извещений. По отношению к 201</w:t>
      </w:r>
      <w:r w:rsidR="00F014B4" w:rsidRPr="00546380">
        <w:rPr>
          <w:rFonts w:ascii="Times New Roman" w:hAnsi="Times New Roman" w:cs="Times New Roman"/>
          <w:sz w:val="28"/>
          <w:szCs w:val="28"/>
        </w:rPr>
        <w:t>8</w:t>
      </w:r>
      <w:r w:rsidRPr="00546380">
        <w:rPr>
          <w:rFonts w:ascii="Times New Roman" w:hAnsi="Times New Roman" w:cs="Times New Roman"/>
          <w:sz w:val="28"/>
          <w:szCs w:val="28"/>
        </w:rPr>
        <w:t xml:space="preserve"> году отмечается рост количества закупок, осуществленных путем проведения электронного аукциона. Преимущество аукционов в электронной форме обусловлено минимизацией временных затрат и экономией бюджетных средств, что делает их наиболее привлекательными для заказчиков.</w:t>
      </w:r>
    </w:p>
    <w:p w:rsidR="00022C71" w:rsidRPr="00546380" w:rsidRDefault="00022C71" w:rsidP="00546380">
      <w:pPr>
        <w:tabs>
          <w:tab w:val="left" w:pos="567"/>
          <w:tab w:val="left" w:pos="993"/>
        </w:tabs>
        <w:spacing w:after="0" w:line="240" w:lineRule="auto"/>
        <w:jc w:val="both"/>
        <w:rPr>
          <w:rFonts w:ascii="Times New Roman" w:hAnsi="Times New Roman" w:cs="Times New Roman"/>
          <w:sz w:val="28"/>
          <w:szCs w:val="28"/>
        </w:rPr>
      </w:pPr>
      <w:r w:rsidRPr="00546380">
        <w:rPr>
          <w:rFonts w:ascii="Times New Roman" w:hAnsi="Times New Roman" w:cs="Times New Roman"/>
          <w:noProof/>
          <w:sz w:val="28"/>
          <w:szCs w:val="28"/>
          <w:lang w:eastAsia="ru-RU"/>
        </w:rPr>
        <w:drawing>
          <wp:inline distT="0" distB="0" distL="0" distR="0" wp14:anchorId="35222143" wp14:editId="2F7B7C36">
            <wp:extent cx="5915025" cy="3252470"/>
            <wp:effectExtent l="0" t="0" r="9525" b="50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40D9" w:rsidRDefault="002B40D9"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Общее колич</w:t>
      </w:r>
      <w:r w:rsidR="00022C71" w:rsidRPr="00546380">
        <w:rPr>
          <w:rFonts w:ascii="Times New Roman" w:hAnsi="Times New Roman" w:cs="Times New Roman"/>
          <w:sz w:val="28"/>
          <w:szCs w:val="28"/>
        </w:rPr>
        <w:t>ество размещенных закупок в 2019</w:t>
      </w:r>
      <w:r w:rsidRPr="00546380">
        <w:rPr>
          <w:rFonts w:ascii="Times New Roman" w:hAnsi="Times New Roman" w:cs="Times New Roman"/>
          <w:sz w:val="28"/>
          <w:szCs w:val="28"/>
        </w:rPr>
        <w:t xml:space="preserve"> году по сравн</w:t>
      </w:r>
      <w:r w:rsidR="00022C71" w:rsidRPr="00546380">
        <w:rPr>
          <w:rFonts w:ascii="Times New Roman" w:hAnsi="Times New Roman" w:cs="Times New Roman"/>
          <w:sz w:val="28"/>
          <w:szCs w:val="28"/>
        </w:rPr>
        <w:t>ению с аналогичным периодом 2018</w:t>
      </w:r>
      <w:r w:rsidRPr="00546380">
        <w:rPr>
          <w:rFonts w:ascii="Times New Roman" w:hAnsi="Times New Roman" w:cs="Times New Roman"/>
          <w:sz w:val="28"/>
          <w:szCs w:val="28"/>
        </w:rPr>
        <w:t xml:space="preserve"> года увеличилось на </w:t>
      </w:r>
      <w:r w:rsidR="0055250E" w:rsidRPr="00546380">
        <w:rPr>
          <w:rFonts w:ascii="Times New Roman" w:hAnsi="Times New Roman" w:cs="Times New Roman"/>
          <w:sz w:val="28"/>
          <w:szCs w:val="28"/>
        </w:rPr>
        <w:t>7,5</w:t>
      </w:r>
      <w:r w:rsidRPr="00546380">
        <w:rPr>
          <w:rFonts w:ascii="Times New Roman" w:hAnsi="Times New Roman" w:cs="Times New Roman"/>
          <w:sz w:val="28"/>
          <w:szCs w:val="28"/>
        </w:rPr>
        <w:t>%, в том чис</w:t>
      </w:r>
      <w:r w:rsidR="0055250E" w:rsidRPr="00546380">
        <w:rPr>
          <w:rFonts w:ascii="Times New Roman" w:hAnsi="Times New Roman" w:cs="Times New Roman"/>
          <w:sz w:val="28"/>
          <w:szCs w:val="28"/>
        </w:rPr>
        <w:t>ле: электронных аукционов в 2019 году увеличилось на 10,6</w:t>
      </w:r>
      <w:r w:rsidRPr="00546380">
        <w:rPr>
          <w:rFonts w:ascii="Times New Roman" w:hAnsi="Times New Roman" w:cs="Times New Roman"/>
          <w:sz w:val="28"/>
          <w:szCs w:val="28"/>
        </w:rPr>
        <w:t xml:space="preserve">%, конкурсов </w:t>
      </w:r>
      <w:r w:rsidR="0055250E" w:rsidRPr="00546380">
        <w:rPr>
          <w:rFonts w:ascii="Times New Roman" w:hAnsi="Times New Roman" w:cs="Times New Roman"/>
          <w:sz w:val="28"/>
          <w:szCs w:val="28"/>
        </w:rPr>
        <w:t xml:space="preserve">увеличилось </w:t>
      </w:r>
      <w:r w:rsidRPr="00546380">
        <w:rPr>
          <w:rFonts w:ascii="Times New Roman" w:hAnsi="Times New Roman" w:cs="Times New Roman"/>
          <w:sz w:val="28"/>
          <w:szCs w:val="28"/>
        </w:rPr>
        <w:t xml:space="preserve">на </w:t>
      </w:r>
      <w:r w:rsidR="0055250E" w:rsidRPr="00546380">
        <w:rPr>
          <w:rFonts w:ascii="Times New Roman" w:hAnsi="Times New Roman" w:cs="Times New Roman"/>
          <w:sz w:val="28"/>
          <w:szCs w:val="28"/>
        </w:rPr>
        <w:t>33</w:t>
      </w:r>
      <w:r w:rsidRPr="00546380">
        <w:rPr>
          <w:rFonts w:ascii="Times New Roman" w:hAnsi="Times New Roman" w:cs="Times New Roman"/>
          <w:sz w:val="28"/>
          <w:szCs w:val="28"/>
        </w:rPr>
        <w:t>%, запросов котировок</w:t>
      </w:r>
      <w:r w:rsidR="0055250E" w:rsidRPr="00546380">
        <w:rPr>
          <w:rFonts w:ascii="Times New Roman" w:hAnsi="Times New Roman" w:cs="Times New Roman"/>
          <w:sz w:val="28"/>
          <w:szCs w:val="28"/>
        </w:rPr>
        <w:t xml:space="preserve"> уменьшилось</w:t>
      </w:r>
      <w:r w:rsidRPr="00546380">
        <w:rPr>
          <w:rFonts w:ascii="Times New Roman" w:hAnsi="Times New Roman" w:cs="Times New Roman"/>
          <w:sz w:val="28"/>
          <w:szCs w:val="28"/>
        </w:rPr>
        <w:t xml:space="preserve"> на </w:t>
      </w:r>
      <w:r w:rsidR="0055250E" w:rsidRPr="00546380">
        <w:rPr>
          <w:rFonts w:ascii="Times New Roman" w:hAnsi="Times New Roman" w:cs="Times New Roman"/>
          <w:sz w:val="28"/>
          <w:szCs w:val="28"/>
        </w:rPr>
        <w:t>16,6%.</w:t>
      </w:r>
    </w:p>
    <w:p w:rsidR="002B40D9" w:rsidRPr="00546380" w:rsidRDefault="002B40D9" w:rsidP="00546380">
      <w:pPr>
        <w:pStyle w:val="ad"/>
        <w:numPr>
          <w:ilvl w:val="0"/>
          <w:numId w:val="1"/>
        </w:numPr>
        <w:tabs>
          <w:tab w:val="left" w:pos="709"/>
          <w:tab w:val="left" w:pos="993"/>
        </w:tabs>
        <w:spacing w:after="0" w:line="240" w:lineRule="auto"/>
        <w:jc w:val="center"/>
        <w:rPr>
          <w:rFonts w:ascii="Times New Roman" w:hAnsi="Times New Roman" w:cs="Times New Roman"/>
          <w:sz w:val="28"/>
          <w:szCs w:val="28"/>
        </w:rPr>
      </w:pPr>
      <w:r w:rsidRPr="00546380">
        <w:rPr>
          <w:rFonts w:ascii="Times New Roman" w:hAnsi="Times New Roman" w:cs="Times New Roman"/>
          <w:i/>
          <w:sz w:val="28"/>
          <w:szCs w:val="28"/>
          <w:u w:val="single"/>
        </w:rPr>
        <w:lastRenderedPageBreak/>
        <w:t>Показатель экономической эффективности расходования бюджетных средств</w:t>
      </w:r>
    </w:p>
    <w:p w:rsidR="002B40D9" w:rsidRPr="00546380" w:rsidRDefault="002B40D9" w:rsidP="00546380">
      <w:pPr>
        <w:tabs>
          <w:tab w:val="left" w:pos="709"/>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Степень эффективности расходования бюджетных средств за</w:t>
      </w:r>
      <w:r w:rsidR="00970235" w:rsidRPr="00546380">
        <w:rPr>
          <w:rFonts w:ascii="Times New Roman" w:hAnsi="Times New Roman" w:cs="Times New Roman"/>
          <w:sz w:val="28"/>
          <w:szCs w:val="28"/>
        </w:rPr>
        <w:t xml:space="preserve"> период с января по декабрь 2019</w:t>
      </w:r>
      <w:r w:rsidRPr="00546380">
        <w:rPr>
          <w:rFonts w:ascii="Times New Roman" w:hAnsi="Times New Roman" w:cs="Times New Roman"/>
          <w:sz w:val="28"/>
          <w:szCs w:val="28"/>
        </w:rPr>
        <w:t xml:space="preserve"> года составила 1</w:t>
      </w:r>
      <w:r w:rsidR="00A96E08" w:rsidRPr="00546380">
        <w:rPr>
          <w:rFonts w:ascii="Times New Roman" w:hAnsi="Times New Roman" w:cs="Times New Roman"/>
          <w:sz w:val="28"/>
          <w:szCs w:val="28"/>
        </w:rPr>
        <w:t>1</w:t>
      </w:r>
      <w:r w:rsidRPr="00546380">
        <w:rPr>
          <w:rFonts w:ascii="Times New Roman" w:hAnsi="Times New Roman" w:cs="Times New Roman"/>
          <w:sz w:val="28"/>
          <w:szCs w:val="28"/>
        </w:rPr>
        <w:t>,</w:t>
      </w:r>
      <w:r w:rsidR="00A96E08" w:rsidRPr="00546380">
        <w:rPr>
          <w:rFonts w:ascii="Times New Roman" w:hAnsi="Times New Roman" w:cs="Times New Roman"/>
          <w:sz w:val="28"/>
          <w:szCs w:val="28"/>
        </w:rPr>
        <w:t>88</w:t>
      </w:r>
      <w:r w:rsidRPr="00546380">
        <w:rPr>
          <w:rFonts w:ascii="Times New Roman" w:hAnsi="Times New Roman" w:cs="Times New Roman"/>
          <w:sz w:val="28"/>
          <w:szCs w:val="28"/>
        </w:rPr>
        <w:t xml:space="preserve">%. Надо заметить, что по существующей методике расчета степени эффективности расходования бюджетных средств, если показатель составляет </w:t>
      </w:r>
      <w:r w:rsidR="00A96E08" w:rsidRPr="00546380">
        <w:rPr>
          <w:rFonts w:ascii="Times New Roman" w:hAnsi="Times New Roman" w:cs="Times New Roman"/>
          <w:sz w:val="28"/>
          <w:szCs w:val="28"/>
        </w:rPr>
        <w:t>5%-</w:t>
      </w:r>
      <w:r w:rsidRPr="00546380">
        <w:rPr>
          <w:rFonts w:ascii="Times New Roman" w:hAnsi="Times New Roman" w:cs="Times New Roman"/>
          <w:sz w:val="28"/>
          <w:szCs w:val="28"/>
        </w:rPr>
        <w:t xml:space="preserve">12%, оценка деятельности считается </w:t>
      </w:r>
      <w:r w:rsidR="00A96E08" w:rsidRPr="00546380">
        <w:rPr>
          <w:rFonts w:ascii="Times New Roman" w:hAnsi="Times New Roman" w:cs="Times New Roman"/>
          <w:sz w:val="28"/>
          <w:szCs w:val="28"/>
        </w:rPr>
        <w:t>нормативно-</w:t>
      </w:r>
      <w:r w:rsidRPr="00546380">
        <w:rPr>
          <w:rFonts w:ascii="Times New Roman" w:hAnsi="Times New Roman" w:cs="Times New Roman"/>
          <w:sz w:val="28"/>
          <w:szCs w:val="28"/>
        </w:rPr>
        <w:t xml:space="preserve">эффективной и </w:t>
      </w:r>
      <w:r w:rsidR="00A96E08" w:rsidRPr="00546380">
        <w:rPr>
          <w:rFonts w:ascii="Times New Roman" w:hAnsi="Times New Roman" w:cs="Times New Roman"/>
          <w:sz w:val="28"/>
          <w:szCs w:val="28"/>
        </w:rPr>
        <w:t xml:space="preserve">не </w:t>
      </w:r>
      <w:r w:rsidRPr="00546380">
        <w:rPr>
          <w:rFonts w:ascii="Times New Roman" w:hAnsi="Times New Roman" w:cs="Times New Roman"/>
          <w:sz w:val="28"/>
          <w:szCs w:val="28"/>
        </w:rPr>
        <w:t xml:space="preserve">нуждается в </w:t>
      </w:r>
      <w:r w:rsidR="00A96E08" w:rsidRPr="00546380">
        <w:rPr>
          <w:rFonts w:ascii="Times New Roman" w:hAnsi="Times New Roman" w:cs="Times New Roman"/>
          <w:sz w:val="28"/>
          <w:szCs w:val="28"/>
        </w:rPr>
        <w:t>особых действиях.</w:t>
      </w:r>
    </w:p>
    <w:p w:rsidR="002B40D9" w:rsidRPr="00546380" w:rsidRDefault="002B40D9" w:rsidP="00546380">
      <w:pPr>
        <w:tabs>
          <w:tab w:val="left" w:pos="993"/>
        </w:tabs>
        <w:spacing w:after="0" w:line="240" w:lineRule="auto"/>
        <w:ind w:firstLine="709"/>
        <w:jc w:val="center"/>
        <w:rPr>
          <w:rFonts w:ascii="Times New Roman" w:hAnsi="Times New Roman" w:cs="Times New Roman"/>
          <w:sz w:val="28"/>
          <w:szCs w:val="28"/>
        </w:rPr>
      </w:pPr>
      <w:r w:rsidRPr="00546380">
        <w:rPr>
          <w:rFonts w:ascii="Times New Roman" w:hAnsi="Times New Roman" w:cs="Times New Roman"/>
          <w:sz w:val="28"/>
          <w:szCs w:val="28"/>
        </w:rPr>
        <w:t>Экономия по размещенным закупкам в разрезе способов определения поставщика (</w:t>
      </w:r>
      <w:r w:rsidR="0053353E" w:rsidRPr="00546380">
        <w:rPr>
          <w:rFonts w:ascii="Times New Roman" w:hAnsi="Times New Roman" w:cs="Times New Roman"/>
          <w:sz w:val="28"/>
          <w:szCs w:val="28"/>
        </w:rPr>
        <w:t>подрядчика, исполнителя) за 2019</w:t>
      </w:r>
      <w:r w:rsidRPr="00546380">
        <w:rPr>
          <w:rFonts w:ascii="Times New Roman" w:hAnsi="Times New Roman" w:cs="Times New Roman"/>
          <w:sz w:val="28"/>
          <w:szCs w:val="28"/>
        </w:rPr>
        <w:t xml:space="preserve"> год</w:t>
      </w:r>
    </w:p>
    <w:tbl>
      <w:tblPr>
        <w:tblW w:w="9639" w:type="dxa"/>
        <w:tblInd w:w="-10" w:type="dxa"/>
        <w:tblLook w:val="04A0" w:firstRow="1" w:lastRow="0" w:firstColumn="1" w:lastColumn="0" w:noHBand="0" w:noVBand="1"/>
      </w:tblPr>
      <w:tblGrid>
        <w:gridCol w:w="1815"/>
        <w:gridCol w:w="2013"/>
        <w:gridCol w:w="1984"/>
        <w:gridCol w:w="1985"/>
        <w:gridCol w:w="1842"/>
      </w:tblGrid>
      <w:tr w:rsidR="000E37DE" w:rsidRPr="00BA7056" w:rsidTr="000E37DE">
        <w:trPr>
          <w:trHeight w:val="1290"/>
        </w:trPr>
        <w:tc>
          <w:tcPr>
            <w:tcW w:w="1815" w:type="dxa"/>
            <w:tcBorders>
              <w:top w:val="single" w:sz="8" w:space="0" w:color="auto"/>
              <w:left w:val="single" w:sz="8" w:space="0" w:color="auto"/>
              <w:bottom w:val="nil"/>
              <w:right w:val="single" w:sz="8" w:space="0" w:color="auto"/>
            </w:tcBorders>
            <w:shd w:val="clear" w:color="auto" w:fill="auto"/>
            <w:vAlign w:val="center"/>
            <w:hideMark/>
          </w:tcPr>
          <w:p w:rsidR="000E37DE" w:rsidRPr="00BA7056"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Способы определения поставщиков (подрядчиков, исполнителей)</w:t>
            </w:r>
          </w:p>
        </w:tc>
        <w:tc>
          <w:tcPr>
            <w:tcW w:w="2013" w:type="dxa"/>
            <w:tcBorders>
              <w:top w:val="single" w:sz="8" w:space="0" w:color="auto"/>
              <w:left w:val="nil"/>
              <w:bottom w:val="nil"/>
              <w:right w:val="single" w:sz="8" w:space="0" w:color="auto"/>
            </w:tcBorders>
            <w:shd w:val="clear" w:color="auto" w:fill="auto"/>
            <w:vAlign w:val="center"/>
            <w:hideMark/>
          </w:tcPr>
          <w:p w:rsidR="000E37DE" w:rsidRPr="00BA7056"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Начальная (максимальная) цена контракта</w:t>
            </w:r>
          </w:p>
        </w:tc>
        <w:tc>
          <w:tcPr>
            <w:tcW w:w="1984" w:type="dxa"/>
            <w:tcBorders>
              <w:top w:val="single" w:sz="8" w:space="0" w:color="auto"/>
              <w:left w:val="nil"/>
              <w:bottom w:val="nil"/>
              <w:right w:val="single" w:sz="8" w:space="0" w:color="auto"/>
            </w:tcBorders>
            <w:shd w:val="clear" w:color="auto" w:fill="auto"/>
            <w:vAlign w:val="center"/>
            <w:hideMark/>
          </w:tcPr>
          <w:p w:rsidR="000E37DE" w:rsidRPr="00BA7056"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НМЦК (состоявшихся торгов)</w:t>
            </w:r>
          </w:p>
        </w:tc>
        <w:tc>
          <w:tcPr>
            <w:tcW w:w="1985" w:type="dxa"/>
            <w:tcBorders>
              <w:top w:val="single" w:sz="8" w:space="0" w:color="auto"/>
              <w:left w:val="nil"/>
              <w:bottom w:val="nil"/>
              <w:right w:val="single" w:sz="8" w:space="0" w:color="auto"/>
            </w:tcBorders>
            <w:shd w:val="clear" w:color="auto" w:fill="auto"/>
            <w:vAlign w:val="center"/>
            <w:hideMark/>
          </w:tcPr>
          <w:p w:rsidR="000E37DE" w:rsidRPr="00BA7056"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Сумма по протоколу</w:t>
            </w:r>
          </w:p>
        </w:tc>
        <w:tc>
          <w:tcPr>
            <w:tcW w:w="1842" w:type="dxa"/>
            <w:tcBorders>
              <w:top w:val="single" w:sz="8" w:space="0" w:color="auto"/>
              <w:left w:val="nil"/>
              <w:bottom w:val="nil"/>
              <w:right w:val="single" w:sz="8" w:space="0" w:color="auto"/>
            </w:tcBorders>
            <w:shd w:val="clear" w:color="auto" w:fill="auto"/>
            <w:vAlign w:val="center"/>
            <w:hideMark/>
          </w:tcPr>
          <w:p w:rsidR="000E37DE" w:rsidRPr="00BA7056"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Экономия</w:t>
            </w:r>
          </w:p>
        </w:tc>
      </w:tr>
      <w:tr w:rsidR="00E6790B" w:rsidRPr="00BA7056" w:rsidTr="00E56496">
        <w:trPr>
          <w:trHeight w:val="525"/>
        </w:trPr>
        <w:tc>
          <w:tcPr>
            <w:tcW w:w="181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Электронный аукцион</w:t>
            </w:r>
          </w:p>
        </w:tc>
        <w:tc>
          <w:tcPr>
            <w:tcW w:w="2013" w:type="dxa"/>
            <w:tcBorders>
              <w:top w:val="single" w:sz="8" w:space="0" w:color="auto"/>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 xml:space="preserve">3 158 575 492,67   </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3 013 203 877,25</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2 785 291 702,48</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227 912 174,77</w:t>
            </w:r>
          </w:p>
        </w:tc>
      </w:tr>
      <w:tr w:rsidR="00E6790B" w:rsidRPr="00BA7056" w:rsidTr="00E56496">
        <w:trPr>
          <w:trHeight w:val="31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Конкурсы:</w:t>
            </w:r>
          </w:p>
        </w:tc>
        <w:tc>
          <w:tcPr>
            <w:tcW w:w="2013"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p>
        </w:tc>
      </w:tr>
      <w:tr w:rsidR="00E6790B" w:rsidRPr="00BA7056" w:rsidTr="00E56496">
        <w:trPr>
          <w:trHeight w:val="52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jc w:val="right"/>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открытый конкурс</w:t>
            </w:r>
          </w:p>
        </w:tc>
        <w:tc>
          <w:tcPr>
            <w:tcW w:w="2013"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 xml:space="preserve">121 010 972,81   </w:t>
            </w:r>
          </w:p>
        </w:tc>
        <w:tc>
          <w:tcPr>
            <w:tcW w:w="1984"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108 102 395,83</w:t>
            </w:r>
          </w:p>
        </w:tc>
        <w:tc>
          <w:tcPr>
            <w:tcW w:w="1985"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82 687 148,38</w:t>
            </w:r>
          </w:p>
        </w:tc>
        <w:tc>
          <w:tcPr>
            <w:tcW w:w="1842"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25 415 247,45</w:t>
            </w:r>
          </w:p>
        </w:tc>
      </w:tr>
      <w:tr w:rsidR="00E6790B" w:rsidRPr="00BA7056" w:rsidTr="00E56496">
        <w:trPr>
          <w:trHeight w:val="780"/>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jc w:val="right"/>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конкурс с ограниченным участием</w:t>
            </w:r>
          </w:p>
        </w:tc>
        <w:tc>
          <w:tcPr>
            <w:tcW w:w="2013"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 xml:space="preserve">459 246 566,52   </w:t>
            </w:r>
          </w:p>
        </w:tc>
        <w:tc>
          <w:tcPr>
            <w:tcW w:w="1984"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457 344 490,06</w:t>
            </w:r>
          </w:p>
        </w:tc>
        <w:tc>
          <w:tcPr>
            <w:tcW w:w="1985"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433 747 454,45</w:t>
            </w:r>
          </w:p>
        </w:tc>
        <w:tc>
          <w:tcPr>
            <w:tcW w:w="1842"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23 597 035,61</w:t>
            </w:r>
          </w:p>
        </w:tc>
      </w:tr>
      <w:tr w:rsidR="00E6790B" w:rsidRPr="00BA7056" w:rsidTr="00E56496">
        <w:trPr>
          <w:trHeight w:val="52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 xml:space="preserve">Запрос котировок </w:t>
            </w:r>
          </w:p>
        </w:tc>
        <w:tc>
          <w:tcPr>
            <w:tcW w:w="2013"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 xml:space="preserve">32 169 854,02   </w:t>
            </w:r>
          </w:p>
        </w:tc>
        <w:tc>
          <w:tcPr>
            <w:tcW w:w="1984"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30 654 564,63</w:t>
            </w:r>
          </w:p>
        </w:tc>
        <w:tc>
          <w:tcPr>
            <w:tcW w:w="1985"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24 625 275,29</w:t>
            </w:r>
          </w:p>
        </w:tc>
        <w:tc>
          <w:tcPr>
            <w:tcW w:w="1842"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6 029 289,34</w:t>
            </w:r>
          </w:p>
        </w:tc>
      </w:tr>
      <w:tr w:rsidR="00E6790B" w:rsidRPr="00BA7056" w:rsidTr="00E56496">
        <w:trPr>
          <w:trHeight w:val="52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Запрос предложений</w:t>
            </w:r>
          </w:p>
        </w:tc>
        <w:tc>
          <w:tcPr>
            <w:tcW w:w="2013"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 xml:space="preserve">31 343 283,81   </w:t>
            </w:r>
          </w:p>
        </w:tc>
        <w:tc>
          <w:tcPr>
            <w:tcW w:w="1984"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24 317 577,15</w:t>
            </w:r>
          </w:p>
        </w:tc>
        <w:tc>
          <w:tcPr>
            <w:tcW w:w="1985"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24 137 046,19</w:t>
            </w:r>
          </w:p>
        </w:tc>
        <w:tc>
          <w:tcPr>
            <w:tcW w:w="1842" w:type="dxa"/>
            <w:tcBorders>
              <w:top w:val="nil"/>
              <w:left w:val="nil"/>
              <w:bottom w:val="single" w:sz="8" w:space="0" w:color="auto"/>
              <w:right w:val="single" w:sz="8" w:space="0" w:color="auto"/>
            </w:tcBorders>
            <w:shd w:val="clear" w:color="000000" w:fill="FFFFFF"/>
            <w:vAlign w:val="center"/>
            <w:hideMark/>
          </w:tcPr>
          <w:p w:rsidR="00E6790B" w:rsidRPr="00BA7056" w:rsidRDefault="00E6790B" w:rsidP="00546380">
            <w:pPr>
              <w:spacing w:after="0" w:line="240" w:lineRule="auto"/>
              <w:jc w:val="center"/>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180 530,96</w:t>
            </w:r>
          </w:p>
        </w:tc>
      </w:tr>
      <w:tr w:rsidR="00E6790B" w:rsidRPr="00BA7056" w:rsidTr="000E37DE">
        <w:trPr>
          <w:trHeight w:val="31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 </w:t>
            </w:r>
          </w:p>
        </w:tc>
        <w:tc>
          <w:tcPr>
            <w:tcW w:w="2013" w:type="dxa"/>
            <w:tcBorders>
              <w:top w:val="nil"/>
              <w:left w:val="nil"/>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 xml:space="preserve">3 802 346 169,83   </w:t>
            </w:r>
          </w:p>
        </w:tc>
        <w:tc>
          <w:tcPr>
            <w:tcW w:w="1984" w:type="dxa"/>
            <w:tcBorders>
              <w:top w:val="nil"/>
              <w:left w:val="nil"/>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3 633 622 904,92</w:t>
            </w:r>
          </w:p>
        </w:tc>
        <w:tc>
          <w:tcPr>
            <w:tcW w:w="1985" w:type="dxa"/>
            <w:tcBorders>
              <w:top w:val="nil"/>
              <w:left w:val="nil"/>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3 350 488 626,79</w:t>
            </w:r>
          </w:p>
        </w:tc>
        <w:tc>
          <w:tcPr>
            <w:tcW w:w="1842" w:type="dxa"/>
            <w:tcBorders>
              <w:top w:val="nil"/>
              <w:left w:val="nil"/>
              <w:bottom w:val="single" w:sz="8" w:space="0" w:color="auto"/>
              <w:right w:val="single" w:sz="8" w:space="0" w:color="auto"/>
            </w:tcBorders>
            <w:shd w:val="clear" w:color="auto" w:fill="auto"/>
            <w:vAlign w:val="center"/>
            <w:hideMark/>
          </w:tcPr>
          <w:p w:rsidR="00E6790B" w:rsidRPr="00BA7056" w:rsidRDefault="00E6790B"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283 134 278,13</w:t>
            </w:r>
          </w:p>
        </w:tc>
      </w:tr>
    </w:tbl>
    <w:p w:rsidR="002B40D9" w:rsidRPr="00546380" w:rsidRDefault="002B40D9" w:rsidP="00546380">
      <w:pPr>
        <w:tabs>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ab/>
      </w:r>
    </w:p>
    <w:p w:rsidR="002B40D9" w:rsidRPr="00546380" w:rsidRDefault="002B40D9" w:rsidP="00546380">
      <w:pPr>
        <w:tabs>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ab/>
      </w:r>
      <w:r w:rsidRPr="00325AF0">
        <w:rPr>
          <w:rFonts w:ascii="Times New Roman" w:hAnsi="Times New Roman" w:cs="Times New Roman"/>
          <w:sz w:val="28"/>
          <w:szCs w:val="28"/>
        </w:rPr>
        <w:t xml:space="preserve">По сравнению с </w:t>
      </w:r>
      <w:r w:rsidR="00CF31D8" w:rsidRPr="00325AF0">
        <w:rPr>
          <w:rFonts w:ascii="Times New Roman" w:hAnsi="Times New Roman" w:cs="Times New Roman"/>
          <w:sz w:val="28"/>
          <w:szCs w:val="28"/>
        </w:rPr>
        <w:t>размещенными закупками 2018 года общий объем закупок в 2019</w:t>
      </w:r>
      <w:r w:rsidRPr="00325AF0">
        <w:rPr>
          <w:rFonts w:ascii="Times New Roman" w:hAnsi="Times New Roman" w:cs="Times New Roman"/>
          <w:sz w:val="28"/>
          <w:szCs w:val="28"/>
        </w:rPr>
        <w:t xml:space="preserve"> году </w:t>
      </w:r>
      <w:r w:rsidR="00325AF0" w:rsidRPr="00325AF0">
        <w:rPr>
          <w:rFonts w:ascii="Times New Roman" w:hAnsi="Times New Roman" w:cs="Times New Roman"/>
          <w:sz w:val="28"/>
          <w:szCs w:val="28"/>
        </w:rPr>
        <w:t>увеличился</w:t>
      </w:r>
      <w:r w:rsidRPr="00325AF0">
        <w:rPr>
          <w:rFonts w:ascii="Times New Roman" w:hAnsi="Times New Roman" w:cs="Times New Roman"/>
          <w:sz w:val="28"/>
          <w:szCs w:val="28"/>
        </w:rPr>
        <w:t xml:space="preserve"> на 27%. Но в то же время в 201</w:t>
      </w:r>
      <w:r w:rsidR="00325AF0" w:rsidRPr="00325AF0">
        <w:rPr>
          <w:rFonts w:ascii="Times New Roman" w:hAnsi="Times New Roman" w:cs="Times New Roman"/>
          <w:sz w:val="28"/>
          <w:szCs w:val="28"/>
        </w:rPr>
        <w:t>9</w:t>
      </w:r>
      <w:r w:rsidRPr="00325AF0">
        <w:rPr>
          <w:rFonts w:ascii="Times New Roman" w:hAnsi="Times New Roman" w:cs="Times New Roman"/>
          <w:sz w:val="28"/>
          <w:szCs w:val="28"/>
        </w:rPr>
        <w:t xml:space="preserve"> году объем размещенных запросов котировок </w:t>
      </w:r>
      <w:r w:rsidR="00325AF0" w:rsidRPr="00325AF0">
        <w:rPr>
          <w:rFonts w:ascii="Times New Roman" w:hAnsi="Times New Roman" w:cs="Times New Roman"/>
          <w:sz w:val="28"/>
          <w:szCs w:val="28"/>
        </w:rPr>
        <w:t>снизился</w:t>
      </w:r>
      <w:r w:rsidRPr="00325AF0">
        <w:rPr>
          <w:rFonts w:ascii="Times New Roman" w:hAnsi="Times New Roman" w:cs="Times New Roman"/>
          <w:sz w:val="28"/>
          <w:szCs w:val="28"/>
        </w:rPr>
        <w:t xml:space="preserve"> по сравн</w:t>
      </w:r>
      <w:r w:rsidR="00325AF0" w:rsidRPr="00325AF0">
        <w:rPr>
          <w:rFonts w:ascii="Times New Roman" w:hAnsi="Times New Roman" w:cs="Times New Roman"/>
          <w:sz w:val="28"/>
          <w:szCs w:val="28"/>
        </w:rPr>
        <w:t>ению с аналогичным периодом 2018 года на 23,6</w:t>
      </w:r>
      <w:r w:rsidRPr="00325AF0">
        <w:rPr>
          <w:rFonts w:ascii="Times New Roman" w:hAnsi="Times New Roman" w:cs="Times New Roman"/>
          <w:sz w:val="28"/>
          <w:szCs w:val="28"/>
        </w:rPr>
        <w:t xml:space="preserve">%, </w:t>
      </w:r>
      <w:r w:rsidR="00325AF0" w:rsidRPr="00325AF0">
        <w:rPr>
          <w:rFonts w:ascii="Times New Roman" w:hAnsi="Times New Roman" w:cs="Times New Roman"/>
          <w:sz w:val="28"/>
          <w:szCs w:val="28"/>
        </w:rPr>
        <w:t>открытых конкурсов</w:t>
      </w:r>
      <w:r w:rsidRPr="00325AF0">
        <w:rPr>
          <w:rFonts w:ascii="Times New Roman" w:hAnsi="Times New Roman" w:cs="Times New Roman"/>
          <w:sz w:val="28"/>
          <w:szCs w:val="28"/>
        </w:rPr>
        <w:t xml:space="preserve"> на </w:t>
      </w:r>
      <w:r w:rsidR="00325AF0" w:rsidRPr="00325AF0">
        <w:rPr>
          <w:rFonts w:ascii="Times New Roman" w:hAnsi="Times New Roman" w:cs="Times New Roman"/>
          <w:sz w:val="28"/>
          <w:szCs w:val="28"/>
        </w:rPr>
        <w:t>61,2</w:t>
      </w:r>
      <w:r w:rsidRPr="00325AF0">
        <w:rPr>
          <w:rFonts w:ascii="Times New Roman" w:hAnsi="Times New Roman" w:cs="Times New Roman"/>
          <w:sz w:val="28"/>
          <w:szCs w:val="28"/>
        </w:rPr>
        <w:t>%, а объем размещенных элек</w:t>
      </w:r>
      <w:r w:rsidR="00325AF0" w:rsidRPr="00325AF0">
        <w:rPr>
          <w:rFonts w:ascii="Times New Roman" w:hAnsi="Times New Roman" w:cs="Times New Roman"/>
          <w:sz w:val="28"/>
          <w:szCs w:val="28"/>
        </w:rPr>
        <w:t>тронных аукционов увеличился на 42,2</w:t>
      </w:r>
      <w:r w:rsidRPr="00325AF0">
        <w:rPr>
          <w:rFonts w:ascii="Times New Roman" w:hAnsi="Times New Roman" w:cs="Times New Roman"/>
          <w:sz w:val="28"/>
          <w:szCs w:val="28"/>
        </w:rPr>
        <w:t xml:space="preserve">%, конкурсов </w:t>
      </w:r>
      <w:r w:rsidR="00325AF0" w:rsidRPr="00325AF0">
        <w:rPr>
          <w:rFonts w:ascii="Times New Roman" w:hAnsi="Times New Roman" w:cs="Times New Roman"/>
          <w:sz w:val="28"/>
          <w:szCs w:val="28"/>
        </w:rPr>
        <w:t>с ограниченным участием на 11,2</w:t>
      </w:r>
      <w:r w:rsidRPr="00325AF0">
        <w:rPr>
          <w:rFonts w:ascii="Times New Roman" w:hAnsi="Times New Roman" w:cs="Times New Roman"/>
          <w:sz w:val="28"/>
          <w:szCs w:val="28"/>
        </w:rPr>
        <w:t>%.</w:t>
      </w:r>
    </w:p>
    <w:p w:rsidR="00546380" w:rsidRDefault="00546380" w:rsidP="00546380">
      <w:pPr>
        <w:pStyle w:val="ad"/>
        <w:tabs>
          <w:tab w:val="left" w:pos="567"/>
        </w:tabs>
        <w:spacing w:after="0" w:line="240" w:lineRule="auto"/>
        <w:ind w:left="709"/>
        <w:contextualSpacing w:val="0"/>
        <w:jc w:val="both"/>
        <w:rPr>
          <w:rFonts w:ascii="Times New Roman" w:hAnsi="Times New Roman" w:cs="Times New Roman"/>
          <w:i/>
          <w:sz w:val="28"/>
          <w:szCs w:val="28"/>
          <w:u w:val="single"/>
        </w:rPr>
      </w:pPr>
    </w:p>
    <w:p w:rsidR="002B40D9" w:rsidRDefault="002B40D9" w:rsidP="00546380">
      <w:pPr>
        <w:pStyle w:val="ad"/>
        <w:numPr>
          <w:ilvl w:val="0"/>
          <w:numId w:val="1"/>
        </w:numPr>
        <w:tabs>
          <w:tab w:val="left" w:pos="567"/>
        </w:tabs>
        <w:spacing w:after="0" w:line="240" w:lineRule="auto"/>
        <w:ind w:left="0" w:firstLine="709"/>
        <w:contextualSpacing w:val="0"/>
        <w:jc w:val="center"/>
        <w:rPr>
          <w:rFonts w:ascii="Times New Roman" w:hAnsi="Times New Roman" w:cs="Times New Roman"/>
          <w:i/>
          <w:sz w:val="28"/>
          <w:szCs w:val="28"/>
          <w:u w:val="single"/>
        </w:rPr>
      </w:pPr>
      <w:r w:rsidRPr="00546380">
        <w:rPr>
          <w:rFonts w:ascii="Times New Roman" w:hAnsi="Times New Roman" w:cs="Times New Roman"/>
          <w:i/>
          <w:sz w:val="28"/>
          <w:szCs w:val="28"/>
          <w:u w:val="single"/>
        </w:rPr>
        <w:t>Показатель соблюдения законодательства при осуществлении закупки</w:t>
      </w:r>
    </w:p>
    <w:p w:rsidR="002B40D9" w:rsidRPr="00546380" w:rsidRDefault="002B40D9"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Анализ соблюдения законодательства при осуществлении закупок по результатам 201</w:t>
      </w:r>
      <w:r w:rsidR="003F0505" w:rsidRPr="00546380">
        <w:rPr>
          <w:rFonts w:ascii="Times New Roman" w:hAnsi="Times New Roman" w:cs="Times New Roman"/>
          <w:sz w:val="28"/>
          <w:szCs w:val="28"/>
        </w:rPr>
        <w:t>9</w:t>
      </w:r>
      <w:r w:rsidRPr="00546380">
        <w:rPr>
          <w:rFonts w:ascii="Times New Roman" w:hAnsi="Times New Roman" w:cs="Times New Roman"/>
          <w:sz w:val="28"/>
          <w:szCs w:val="28"/>
        </w:rPr>
        <w:t xml:space="preserve"> года показывает, что данный показатель находится на </w:t>
      </w:r>
      <w:r w:rsidRPr="001428FB">
        <w:rPr>
          <w:rFonts w:ascii="Times New Roman" w:hAnsi="Times New Roman" w:cs="Times New Roman"/>
          <w:sz w:val="28"/>
          <w:szCs w:val="28"/>
        </w:rPr>
        <w:t>нормативно эффективном уровне (0,9</w:t>
      </w:r>
      <w:r w:rsidR="001428FB" w:rsidRPr="001428FB">
        <w:rPr>
          <w:rFonts w:ascii="Times New Roman" w:hAnsi="Times New Roman" w:cs="Times New Roman"/>
          <w:sz w:val="28"/>
          <w:szCs w:val="28"/>
        </w:rPr>
        <w:t>8</w:t>
      </w:r>
      <w:r w:rsidRPr="001428FB">
        <w:rPr>
          <w:rFonts w:ascii="Times New Roman" w:hAnsi="Times New Roman" w:cs="Times New Roman"/>
          <w:sz w:val="28"/>
          <w:szCs w:val="28"/>
        </w:rPr>
        <w:t>%).</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С 01 января по 31 декабря 2019</w:t>
      </w:r>
      <w:r w:rsidR="002B40D9" w:rsidRPr="00546380">
        <w:rPr>
          <w:rFonts w:ascii="Times New Roman" w:hAnsi="Times New Roman" w:cs="Times New Roman"/>
          <w:sz w:val="28"/>
          <w:szCs w:val="28"/>
        </w:rPr>
        <w:t xml:space="preserve"> г. было подано </w:t>
      </w:r>
      <w:r w:rsidRPr="00546380">
        <w:rPr>
          <w:rFonts w:ascii="Times New Roman" w:hAnsi="Times New Roman" w:cs="Times New Roman"/>
          <w:sz w:val="28"/>
          <w:szCs w:val="28"/>
        </w:rPr>
        <w:t>127</w:t>
      </w:r>
      <w:r w:rsidR="002B40D9" w:rsidRPr="00546380">
        <w:rPr>
          <w:rFonts w:ascii="Times New Roman" w:hAnsi="Times New Roman" w:cs="Times New Roman"/>
          <w:sz w:val="28"/>
          <w:szCs w:val="28"/>
        </w:rPr>
        <w:t xml:space="preserve"> жалоб в Управление Федеральной антимонопольной службы по Республике Саха (Якутия) на действия/бездействия комиссии/заказчиков по определению поставщиков (подрядчиков, исполнителей) по городскому округу «город Якутск», из них:</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- 9</w:t>
      </w:r>
      <w:r w:rsidR="002B40D9" w:rsidRPr="00546380">
        <w:rPr>
          <w:rFonts w:ascii="Times New Roman" w:hAnsi="Times New Roman" w:cs="Times New Roman"/>
          <w:sz w:val="28"/>
          <w:szCs w:val="28"/>
        </w:rPr>
        <w:t xml:space="preserve"> возвращены заявителям;</w:t>
      </w:r>
      <w:r w:rsidR="002B40D9" w:rsidRPr="00546380">
        <w:rPr>
          <w:rFonts w:ascii="Times New Roman" w:hAnsi="Times New Roman" w:cs="Times New Roman"/>
          <w:sz w:val="28"/>
          <w:szCs w:val="28"/>
        </w:rPr>
        <w:tab/>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- 28</w:t>
      </w:r>
      <w:r w:rsidR="002B40D9" w:rsidRPr="00546380">
        <w:rPr>
          <w:rFonts w:ascii="Times New Roman" w:hAnsi="Times New Roman" w:cs="Times New Roman"/>
          <w:sz w:val="28"/>
          <w:szCs w:val="28"/>
        </w:rPr>
        <w:t xml:space="preserve"> отозваны заявителями;</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- 60</w:t>
      </w:r>
      <w:r w:rsidR="002B40D9" w:rsidRPr="00546380">
        <w:rPr>
          <w:rFonts w:ascii="Times New Roman" w:hAnsi="Times New Roman" w:cs="Times New Roman"/>
          <w:sz w:val="28"/>
          <w:szCs w:val="28"/>
        </w:rPr>
        <w:t xml:space="preserve"> признаны необоснованными;</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- 5</w:t>
      </w:r>
      <w:r w:rsidR="002B40D9" w:rsidRPr="00546380">
        <w:rPr>
          <w:rFonts w:ascii="Times New Roman" w:hAnsi="Times New Roman" w:cs="Times New Roman"/>
          <w:sz w:val="28"/>
          <w:szCs w:val="28"/>
        </w:rPr>
        <w:t xml:space="preserve"> признаны обоснованными (частично);</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- 25</w:t>
      </w:r>
      <w:r w:rsidR="002B40D9" w:rsidRPr="00546380">
        <w:rPr>
          <w:rFonts w:ascii="Times New Roman" w:hAnsi="Times New Roman" w:cs="Times New Roman"/>
          <w:sz w:val="28"/>
          <w:szCs w:val="28"/>
        </w:rPr>
        <w:t xml:space="preserve"> признаны обоснованными.</w:t>
      </w:r>
    </w:p>
    <w:p w:rsidR="002B40D9" w:rsidRPr="00546380" w:rsidRDefault="002B40D9" w:rsidP="00546380">
      <w:pPr>
        <w:tabs>
          <w:tab w:val="left" w:pos="567"/>
          <w:tab w:val="left" w:pos="851"/>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lastRenderedPageBreak/>
        <w:t>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546380" w:rsidRPr="00546380" w:rsidRDefault="002B40D9" w:rsidP="00546380">
      <w:pPr>
        <w:tabs>
          <w:tab w:val="left" w:pos="567"/>
          <w:tab w:val="left" w:pos="851"/>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Управлением муниципальных закупок проведено </w:t>
      </w:r>
      <w:r w:rsidR="00546380" w:rsidRPr="00546380">
        <w:rPr>
          <w:rFonts w:ascii="Times New Roman" w:hAnsi="Times New Roman" w:cs="Times New Roman"/>
          <w:sz w:val="28"/>
          <w:szCs w:val="28"/>
        </w:rPr>
        <w:t xml:space="preserve">9 семинаров, из них: 8 семинаров для заказчиков городского округа «город Якутск» по изменениям контрактной системы в сфере закупок, 1 семинар для предпринимателей и всех заинтересованных лиц по вопросам участия в муниципальных закупках в соответствии с Федеральным законом о контрактной системе. Охват целевой аудитории по проведенным семинарам составляет свыше 90 слушателей на каждом семинаре. </w:t>
      </w:r>
    </w:p>
    <w:p w:rsidR="00546380" w:rsidRPr="00546380" w:rsidRDefault="00546380" w:rsidP="00546380">
      <w:pPr>
        <w:tabs>
          <w:tab w:val="left" w:pos="567"/>
          <w:tab w:val="left" w:pos="851"/>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А также организована 1 практическая конференция с охватом более 300 слушателей.</w:t>
      </w:r>
    </w:p>
    <w:p w:rsidR="00546380" w:rsidRDefault="00546380" w:rsidP="00546380">
      <w:pPr>
        <w:tabs>
          <w:tab w:val="left" w:pos="567"/>
          <w:tab w:val="left" w:pos="851"/>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Управлением на постоянной основе проводится работа по нормотворческой деятельности. Всего за 2019 год принято 7 нормативно-правовых актов Окружной администрации города Якутска, регулирующих вопросы в сфере закупок товаров, работ, услуг. В 2 нормативно-правовых документах Окружной администрации города Якутска были внесены изменения.  </w:t>
      </w:r>
    </w:p>
    <w:p w:rsidR="00546380" w:rsidRPr="00546380" w:rsidRDefault="00546380" w:rsidP="00546380">
      <w:pPr>
        <w:tabs>
          <w:tab w:val="left" w:pos="567"/>
          <w:tab w:val="left" w:pos="851"/>
        </w:tabs>
        <w:spacing w:after="0" w:line="240" w:lineRule="auto"/>
        <w:ind w:firstLine="709"/>
        <w:jc w:val="both"/>
        <w:rPr>
          <w:rFonts w:ascii="Times New Roman" w:hAnsi="Times New Roman" w:cs="Times New Roman"/>
          <w:sz w:val="28"/>
          <w:szCs w:val="28"/>
        </w:rPr>
      </w:pPr>
    </w:p>
    <w:p w:rsidR="002B40D9" w:rsidRDefault="002B40D9" w:rsidP="00546380">
      <w:pPr>
        <w:pStyle w:val="ad"/>
        <w:numPr>
          <w:ilvl w:val="0"/>
          <w:numId w:val="1"/>
        </w:numPr>
        <w:tabs>
          <w:tab w:val="left" w:pos="567"/>
          <w:tab w:val="left" w:pos="851"/>
        </w:tabs>
        <w:spacing w:after="0" w:line="240" w:lineRule="auto"/>
        <w:ind w:left="0"/>
        <w:jc w:val="center"/>
        <w:rPr>
          <w:rFonts w:ascii="Times New Roman" w:hAnsi="Times New Roman" w:cs="Times New Roman"/>
          <w:i/>
          <w:sz w:val="28"/>
          <w:szCs w:val="28"/>
          <w:u w:val="single"/>
        </w:rPr>
      </w:pPr>
      <w:r w:rsidRPr="00546380">
        <w:rPr>
          <w:rFonts w:ascii="Times New Roman" w:hAnsi="Times New Roman" w:cs="Times New Roman"/>
          <w:i/>
          <w:sz w:val="28"/>
          <w:szCs w:val="28"/>
          <w:u w:val="single"/>
        </w:rPr>
        <w:t>Показатели эффективности исполнения контрактов</w:t>
      </w:r>
    </w:p>
    <w:p w:rsidR="002B40D9" w:rsidRPr="00546380" w:rsidRDefault="002B40D9" w:rsidP="00546380">
      <w:pPr>
        <w:pStyle w:val="ad"/>
        <w:tabs>
          <w:tab w:val="left" w:pos="709"/>
          <w:tab w:val="left" w:pos="993"/>
        </w:tabs>
        <w:spacing w:after="0" w:line="240" w:lineRule="auto"/>
        <w:ind w:left="0"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Показателями эффективности исполнения контракта являются - оценка эффективности заключенных контрактов, качество исполнения контрактов, удельный вес расторгнутых контрактов. По итогам анализа данных подкритериев показателя дана оценка – эффективная. </w:t>
      </w:r>
    </w:p>
    <w:p w:rsidR="002B40D9" w:rsidRDefault="002B40D9" w:rsidP="00546380">
      <w:pPr>
        <w:pStyle w:val="ad"/>
        <w:tabs>
          <w:tab w:val="left" w:pos="709"/>
          <w:tab w:val="left" w:pos="1134"/>
        </w:tabs>
        <w:spacing w:after="0" w:line="240" w:lineRule="auto"/>
        <w:ind w:left="0" w:firstLine="709"/>
        <w:contextualSpacing w:val="0"/>
        <w:jc w:val="both"/>
        <w:rPr>
          <w:rFonts w:ascii="Times New Roman" w:hAnsi="Times New Roman" w:cs="Times New Roman"/>
          <w:sz w:val="28"/>
          <w:szCs w:val="28"/>
        </w:rPr>
      </w:pPr>
      <w:r w:rsidRPr="00546380">
        <w:rPr>
          <w:rFonts w:ascii="Times New Roman" w:hAnsi="Times New Roman" w:cs="Times New Roman"/>
          <w:sz w:val="28"/>
          <w:szCs w:val="28"/>
        </w:rPr>
        <w:t>На основании данных автоматизированной информационной системы управления закупками «АЦК-Муниципальный заказ» удельный вес расторгнутых контрактов, в общем числе заключ</w:t>
      </w:r>
      <w:r w:rsidR="00592651" w:rsidRPr="00546380">
        <w:rPr>
          <w:rFonts w:ascii="Times New Roman" w:hAnsi="Times New Roman" w:cs="Times New Roman"/>
          <w:sz w:val="28"/>
          <w:szCs w:val="28"/>
        </w:rPr>
        <w:t>е</w:t>
      </w:r>
      <w:r w:rsidR="00F32FC6">
        <w:rPr>
          <w:rFonts w:ascii="Times New Roman" w:hAnsi="Times New Roman" w:cs="Times New Roman"/>
          <w:sz w:val="28"/>
          <w:szCs w:val="28"/>
        </w:rPr>
        <w:t>нных контрактов, составляет 0,03</w:t>
      </w:r>
      <w:r w:rsidRPr="00546380">
        <w:rPr>
          <w:rFonts w:ascii="Times New Roman" w:hAnsi="Times New Roman" w:cs="Times New Roman"/>
          <w:sz w:val="28"/>
          <w:szCs w:val="28"/>
        </w:rPr>
        <w:t>%.</w:t>
      </w:r>
    </w:p>
    <w:p w:rsidR="00546380" w:rsidRPr="00F32FC6" w:rsidRDefault="00F32FC6" w:rsidP="00F32FC6">
      <w:pPr>
        <w:tabs>
          <w:tab w:val="left" w:pos="709"/>
          <w:tab w:val="left" w:pos="1134"/>
        </w:tabs>
        <w:spacing w:after="0" w:line="240" w:lineRule="auto"/>
        <w:jc w:val="both"/>
        <w:rPr>
          <w:rFonts w:ascii="Times New Roman" w:hAnsi="Times New Roman" w:cs="Times New Roman"/>
          <w:sz w:val="28"/>
          <w:szCs w:val="28"/>
        </w:rPr>
      </w:pPr>
      <w:r>
        <w:rPr>
          <w:noProof/>
          <w:lang w:eastAsia="ru-RU"/>
        </w:rPr>
        <w:drawing>
          <wp:inline distT="0" distB="0" distL="0" distR="0" wp14:anchorId="548CB000" wp14:editId="66269DC7">
            <wp:extent cx="5934075" cy="3190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40D9" w:rsidRPr="00F32FC6" w:rsidRDefault="002B40D9" w:rsidP="00F32FC6">
      <w:pPr>
        <w:pStyle w:val="ad"/>
        <w:numPr>
          <w:ilvl w:val="0"/>
          <w:numId w:val="1"/>
        </w:numPr>
        <w:tabs>
          <w:tab w:val="left" w:pos="709"/>
          <w:tab w:val="left" w:pos="1134"/>
        </w:tabs>
        <w:spacing w:after="0" w:line="240" w:lineRule="auto"/>
        <w:ind w:left="0" w:firstLine="709"/>
        <w:contextualSpacing w:val="0"/>
        <w:jc w:val="center"/>
        <w:rPr>
          <w:rFonts w:ascii="Times New Roman" w:hAnsi="Times New Roman" w:cs="Times New Roman"/>
          <w:i/>
          <w:sz w:val="28"/>
          <w:szCs w:val="28"/>
          <w:u w:val="single"/>
        </w:rPr>
      </w:pPr>
      <w:r w:rsidRPr="00F32FC6">
        <w:rPr>
          <w:rFonts w:ascii="Times New Roman" w:hAnsi="Times New Roman" w:cs="Times New Roman"/>
          <w:i/>
          <w:sz w:val="28"/>
          <w:szCs w:val="28"/>
          <w:u w:val="single"/>
        </w:rPr>
        <w:lastRenderedPageBreak/>
        <w:t>Комплексная оценка эффективности деятельности муниципальных заказчиков и заказчиков городского округа «город Якутск»</w:t>
      </w:r>
    </w:p>
    <w:p w:rsidR="002B40D9" w:rsidRPr="00347A1C" w:rsidRDefault="002B40D9" w:rsidP="00546380">
      <w:pPr>
        <w:tabs>
          <w:tab w:val="left" w:pos="709"/>
          <w:tab w:val="left" w:pos="1134"/>
        </w:tabs>
        <w:spacing w:after="0" w:line="240" w:lineRule="auto"/>
        <w:ind w:firstLine="709"/>
        <w:jc w:val="both"/>
        <w:rPr>
          <w:rFonts w:ascii="Times New Roman" w:hAnsi="Times New Roman" w:cs="Times New Roman"/>
          <w:sz w:val="28"/>
          <w:szCs w:val="28"/>
          <w:highlight w:val="yellow"/>
        </w:rPr>
      </w:pPr>
      <w:r w:rsidRPr="003B38AA">
        <w:rPr>
          <w:rFonts w:ascii="Times New Roman" w:hAnsi="Times New Roman" w:cs="Times New Roman"/>
          <w:sz w:val="28"/>
          <w:szCs w:val="28"/>
        </w:rPr>
        <w:t xml:space="preserve">Показатель комплексной оценки эффективности деятельности заказчиков городского округа «город Якутск» рассчитывается путем суммирования значений показателя соблюдения законодательства при осуществлении закупок и показателей эффективности исполнения контракта. Оценка по данному показателю – </w:t>
      </w:r>
      <w:r w:rsidRPr="00931042">
        <w:rPr>
          <w:rFonts w:ascii="Times New Roman" w:hAnsi="Times New Roman" w:cs="Times New Roman"/>
          <w:sz w:val="28"/>
          <w:szCs w:val="28"/>
        </w:rPr>
        <w:t xml:space="preserve">нормативно эффективная. </w:t>
      </w:r>
    </w:p>
    <w:p w:rsidR="002B40D9" w:rsidRPr="003B38AA" w:rsidRDefault="002B40D9" w:rsidP="00546380">
      <w:pPr>
        <w:tabs>
          <w:tab w:val="left" w:pos="709"/>
          <w:tab w:val="left" w:pos="1134"/>
        </w:tabs>
        <w:spacing w:after="0" w:line="240" w:lineRule="auto"/>
        <w:ind w:firstLine="709"/>
        <w:jc w:val="both"/>
        <w:rPr>
          <w:rFonts w:ascii="Times New Roman" w:hAnsi="Times New Roman" w:cs="Times New Roman"/>
          <w:sz w:val="28"/>
          <w:szCs w:val="28"/>
        </w:rPr>
      </w:pPr>
      <w:r w:rsidRPr="003B38AA">
        <w:rPr>
          <w:rFonts w:ascii="Times New Roman" w:hAnsi="Times New Roman" w:cs="Times New Roman"/>
          <w:sz w:val="28"/>
          <w:szCs w:val="28"/>
        </w:rPr>
        <w:t>Выводы о результатах мониторинга закупок для обеспечения муниципальных нужд за 2</w:t>
      </w:r>
      <w:r w:rsidR="00546380" w:rsidRPr="003B38AA">
        <w:rPr>
          <w:rFonts w:ascii="Times New Roman" w:hAnsi="Times New Roman" w:cs="Times New Roman"/>
          <w:sz w:val="28"/>
          <w:szCs w:val="28"/>
        </w:rPr>
        <w:t>019</w:t>
      </w:r>
      <w:r w:rsidRPr="003B38AA">
        <w:rPr>
          <w:rFonts w:ascii="Times New Roman" w:hAnsi="Times New Roman" w:cs="Times New Roman"/>
          <w:sz w:val="28"/>
          <w:szCs w:val="28"/>
        </w:rPr>
        <w:t xml:space="preserve"> год:</w:t>
      </w:r>
    </w:p>
    <w:p w:rsidR="002B40D9" w:rsidRPr="003B38AA" w:rsidRDefault="002B40D9" w:rsidP="00546380">
      <w:pPr>
        <w:tabs>
          <w:tab w:val="left" w:pos="709"/>
          <w:tab w:val="left" w:pos="1134"/>
        </w:tabs>
        <w:spacing w:after="0" w:line="240" w:lineRule="auto"/>
        <w:ind w:firstLine="709"/>
        <w:jc w:val="both"/>
        <w:rPr>
          <w:rFonts w:ascii="Times New Roman" w:hAnsi="Times New Roman" w:cs="Times New Roman"/>
          <w:sz w:val="28"/>
          <w:szCs w:val="28"/>
        </w:rPr>
      </w:pPr>
      <w:r w:rsidRPr="003B38AA">
        <w:rPr>
          <w:rFonts w:ascii="Times New Roman" w:hAnsi="Times New Roman" w:cs="Times New Roman"/>
          <w:sz w:val="28"/>
          <w:szCs w:val="28"/>
        </w:rPr>
        <w:t>- преобладающим способом определения поставщиков (подрядчиков, исполнителей) при осуществлении закупок в городском округе «город Якутск» является электронный аукцион. Доля элект</w:t>
      </w:r>
      <w:r w:rsidR="00546380" w:rsidRPr="003B38AA">
        <w:rPr>
          <w:rFonts w:ascii="Times New Roman" w:hAnsi="Times New Roman" w:cs="Times New Roman"/>
          <w:sz w:val="28"/>
          <w:szCs w:val="28"/>
        </w:rPr>
        <w:t>ронных аукционов составляет 54,39</w:t>
      </w:r>
      <w:r w:rsidRPr="003B38AA">
        <w:rPr>
          <w:rFonts w:ascii="Times New Roman" w:hAnsi="Times New Roman" w:cs="Times New Roman"/>
          <w:sz w:val="28"/>
          <w:szCs w:val="28"/>
        </w:rPr>
        <w:t>% от общего количества размещенных в единой информационной системе извещений.</w:t>
      </w:r>
    </w:p>
    <w:p w:rsidR="002B40D9" w:rsidRDefault="002B40D9" w:rsidP="00546380">
      <w:pPr>
        <w:tabs>
          <w:tab w:val="left" w:pos="709"/>
          <w:tab w:val="left" w:pos="1134"/>
        </w:tabs>
        <w:spacing w:after="0" w:line="240" w:lineRule="auto"/>
        <w:ind w:firstLine="709"/>
        <w:jc w:val="both"/>
        <w:rPr>
          <w:rFonts w:ascii="Times New Roman" w:hAnsi="Times New Roman" w:cs="Times New Roman"/>
          <w:sz w:val="28"/>
          <w:szCs w:val="28"/>
        </w:rPr>
      </w:pPr>
      <w:r w:rsidRPr="003B38AA">
        <w:rPr>
          <w:rFonts w:ascii="Times New Roman" w:hAnsi="Times New Roman" w:cs="Times New Roman"/>
          <w:sz w:val="28"/>
          <w:szCs w:val="28"/>
        </w:rPr>
        <w:t>- 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 актуализации существующих нормативных правовых актов в сфере закупок товаров, работ, услуг, проведение семинаров по изменениям законодательства о контрактной системе для муниципальных заказчиков и предпринимателей.</w:t>
      </w:r>
    </w:p>
    <w:p w:rsidR="0077051C"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p w:rsidR="0077051C"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p w:rsidR="0077051C"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p w:rsidR="0077051C" w:rsidRPr="003F31F0" w:rsidRDefault="0077051C" w:rsidP="0077051C">
      <w:pPr>
        <w:tabs>
          <w:tab w:val="left" w:pos="567"/>
          <w:tab w:val="left" w:pos="1134"/>
        </w:tabs>
        <w:spacing w:line="240" w:lineRule="auto"/>
        <w:ind w:firstLine="567"/>
        <w:jc w:val="both"/>
        <w:rPr>
          <w:rFonts w:ascii="Times New Roman" w:hAnsi="Times New Roman" w:cs="Times New Roman"/>
          <w:b/>
          <w:sz w:val="28"/>
          <w:szCs w:val="28"/>
        </w:rPr>
      </w:pPr>
      <w:r w:rsidRPr="003F31F0">
        <w:rPr>
          <w:rFonts w:ascii="Times New Roman" w:hAnsi="Times New Roman" w:cs="Times New Roman"/>
          <w:b/>
          <w:sz w:val="28"/>
          <w:szCs w:val="28"/>
        </w:rPr>
        <w:t xml:space="preserve">Начальник                            </w:t>
      </w:r>
      <w:r>
        <w:rPr>
          <w:rFonts w:ascii="Times New Roman" w:hAnsi="Times New Roman" w:cs="Times New Roman"/>
          <w:b/>
          <w:sz w:val="28"/>
          <w:szCs w:val="28"/>
        </w:rPr>
        <w:t xml:space="preserve">      </w:t>
      </w:r>
      <w:r w:rsidRPr="003F31F0">
        <w:rPr>
          <w:rFonts w:ascii="Times New Roman" w:hAnsi="Times New Roman" w:cs="Times New Roman"/>
          <w:b/>
          <w:sz w:val="28"/>
          <w:szCs w:val="28"/>
        </w:rPr>
        <w:t xml:space="preserve">                                     </w:t>
      </w:r>
      <w:r>
        <w:rPr>
          <w:rFonts w:ascii="Times New Roman" w:hAnsi="Times New Roman" w:cs="Times New Roman"/>
          <w:b/>
          <w:sz w:val="28"/>
          <w:szCs w:val="28"/>
        </w:rPr>
        <w:t>С.Д. Антонова</w:t>
      </w:r>
    </w:p>
    <w:p w:rsidR="0077051C" w:rsidRPr="00546380"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sectPr w:rsidR="0077051C" w:rsidRPr="00546380" w:rsidSect="00022C71">
      <w:pgSz w:w="11906" w:h="16838" w:code="9"/>
      <w:pgMar w:top="794" w:right="849" w:bottom="7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04" w:rsidRDefault="00A60E04" w:rsidP="00EE17CD">
      <w:pPr>
        <w:spacing w:after="0" w:line="240" w:lineRule="auto"/>
      </w:pPr>
      <w:r>
        <w:separator/>
      </w:r>
    </w:p>
  </w:endnote>
  <w:endnote w:type="continuationSeparator" w:id="0">
    <w:p w:rsidR="00A60E04" w:rsidRDefault="00A60E04" w:rsidP="00E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04" w:rsidRDefault="00A60E04" w:rsidP="00EE17CD">
      <w:pPr>
        <w:spacing w:after="0" w:line="240" w:lineRule="auto"/>
      </w:pPr>
      <w:r>
        <w:separator/>
      </w:r>
    </w:p>
  </w:footnote>
  <w:footnote w:type="continuationSeparator" w:id="0">
    <w:p w:rsidR="00A60E04" w:rsidRDefault="00A60E04" w:rsidP="00E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17BBF"/>
    <w:multiLevelType w:val="hybridMultilevel"/>
    <w:tmpl w:val="11F40912"/>
    <w:lvl w:ilvl="0" w:tplc="6F7A1DD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73A5AB6"/>
    <w:multiLevelType w:val="hybridMultilevel"/>
    <w:tmpl w:val="11F40912"/>
    <w:lvl w:ilvl="0" w:tplc="6F7A1DD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D3"/>
    <w:rsid w:val="000109A0"/>
    <w:rsid w:val="00022C71"/>
    <w:rsid w:val="00075C79"/>
    <w:rsid w:val="0008015F"/>
    <w:rsid w:val="000919E5"/>
    <w:rsid w:val="000A3158"/>
    <w:rsid w:val="000A3943"/>
    <w:rsid w:val="000B17A4"/>
    <w:rsid w:val="000C17B3"/>
    <w:rsid w:val="000E37DE"/>
    <w:rsid w:val="001428FB"/>
    <w:rsid w:val="00174198"/>
    <w:rsid w:val="001C1A88"/>
    <w:rsid w:val="002177EA"/>
    <w:rsid w:val="00290EB4"/>
    <w:rsid w:val="0029629B"/>
    <w:rsid w:val="002B40D9"/>
    <w:rsid w:val="002D6C48"/>
    <w:rsid w:val="00325AF0"/>
    <w:rsid w:val="00347A1C"/>
    <w:rsid w:val="003A2808"/>
    <w:rsid w:val="003B38AA"/>
    <w:rsid w:val="003B7C87"/>
    <w:rsid w:val="003D0245"/>
    <w:rsid w:val="003F0505"/>
    <w:rsid w:val="0042715D"/>
    <w:rsid w:val="00450A4F"/>
    <w:rsid w:val="00493B8C"/>
    <w:rsid w:val="004A44D3"/>
    <w:rsid w:val="004E7F86"/>
    <w:rsid w:val="0053353E"/>
    <w:rsid w:val="00546380"/>
    <w:rsid w:val="0055250E"/>
    <w:rsid w:val="00592651"/>
    <w:rsid w:val="0069265F"/>
    <w:rsid w:val="006C16BC"/>
    <w:rsid w:val="00755C82"/>
    <w:rsid w:val="0077051C"/>
    <w:rsid w:val="007E26FF"/>
    <w:rsid w:val="007F2A91"/>
    <w:rsid w:val="00847189"/>
    <w:rsid w:val="008615A0"/>
    <w:rsid w:val="00911AE1"/>
    <w:rsid w:val="00931042"/>
    <w:rsid w:val="00934ED2"/>
    <w:rsid w:val="00970235"/>
    <w:rsid w:val="009B49C8"/>
    <w:rsid w:val="009B6D1E"/>
    <w:rsid w:val="00A202CA"/>
    <w:rsid w:val="00A60E04"/>
    <w:rsid w:val="00A808C0"/>
    <w:rsid w:val="00A8643A"/>
    <w:rsid w:val="00A96E08"/>
    <w:rsid w:val="00AA283F"/>
    <w:rsid w:val="00B056B3"/>
    <w:rsid w:val="00B55F14"/>
    <w:rsid w:val="00BA7056"/>
    <w:rsid w:val="00BB040A"/>
    <w:rsid w:val="00BC5A7D"/>
    <w:rsid w:val="00CF31D8"/>
    <w:rsid w:val="00D12D3D"/>
    <w:rsid w:val="00D8429D"/>
    <w:rsid w:val="00DA5970"/>
    <w:rsid w:val="00DF2009"/>
    <w:rsid w:val="00E6790B"/>
    <w:rsid w:val="00EE17CD"/>
    <w:rsid w:val="00EE47BA"/>
    <w:rsid w:val="00F014B4"/>
    <w:rsid w:val="00F27E7C"/>
    <w:rsid w:val="00F32FC6"/>
    <w:rsid w:val="00F33415"/>
    <w:rsid w:val="00F45F8D"/>
    <w:rsid w:val="00F52DA3"/>
    <w:rsid w:val="00F75270"/>
    <w:rsid w:val="00FA1337"/>
    <w:rsid w:val="00FE4C6A"/>
    <w:rsid w:val="00FE5B2E"/>
    <w:rsid w:val="00F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D74FD-BE7C-458D-8027-37A1B063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A44D3"/>
    <w:pPr>
      <w:spacing w:after="0" w:line="240" w:lineRule="auto"/>
    </w:pPr>
  </w:style>
  <w:style w:type="character" w:customStyle="1" w:styleId="a4">
    <w:name w:val="Без интервала Знак"/>
    <w:basedOn w:val="a0"/>
    <w:link w:val="a3"/>
    <w:uiPriority w:val="1"/>
    <w:rsid w:val="004A44D3"/>
  </w:style>
  <w:style w:type="paragraph" w:styleId="a5">
    <w:name w:val="header"/>
    <w:basedOn w:val="a"/>
    <w:link w:val="a6"/>
    <w:uiPriority w:val="99"/>
    <w:unhideWhenUsed/>
    <w:rsid w:val="00EE17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7CD"/>
  </w:style>
  <w:style w:type="paragraph" w:styleId="a7">
    <w:name w:val="footer"/>
    <w:basedOn w:val="a"/>
    <w:link w:val="a8"/>
    <w:uiPriority w:val="99"/>
    <w:unhideWhenUsed/>
    <w:rsid w:val="00EE17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7CD"/>
  </w:style>
  <w:style w:type="paragraph" w:styleId="a9">
    <w:name w:val="Balloon Text"/>
    <w:basedOn w:val="a"/>
    <w:link w:val="aa"/>
    <w:uiPriority w:val="99"/>
    <w:semiHidden/>
    <w:unhideWhenUsed/>
    <w:rsid w:val="00911AE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1AE1"/>
    <w:rPr>
      <w:rFonts w:ascii="Segoe UI" w:hAnsi="Segoe UI" w:cs="Segoe UI"/>
      <w:sz w:val="18"/>
      <w:szCs w:val="18"/>
    </w:rPr>
  </w:style>
  <w:style w:type="paragraph" w:styleId="ab">
    <w:name w:val="Normal (Web)"/>
    <w:basedOn w:val="a"/>
    <w:uiPriority w:val="99"/>
    <w:semiHidden/>
    <w:unhideWhenUsed/>
    <w:rsid w:val="00EE47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2B4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B4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3213">
      <w:bodyDiv w:val="1"/>
      <w:marLeft w:val="0"/>
      <w:marRight w:val="0"/>
      <w:marTop w:val="0"/>
      <w:marBottom w:val="0"/>
      <w:divBdr>
        <w:top w:val="none" w:sz="0" w:space="0" w:color="auto"/>
        <w:left w:val="none" w:sz="0" w:space="0" w:color="auto"/>
        <w:bottom w:val="none" w:sz="0" w:space="0" w:color="auto"/>
        <w:right w:val="none" w:sz="0" w:space="0" w:color="auto"/>
      </w:divBdr>
    </w:div>
    <w:div w:id="508180385">
      <w:bodyDiv w:val="1"/>
      <w:marLeft w:val="0"/>
      <w:marRight w:val="0"/>
      <w:marTop w:val="0"/>
      <w:marBottom w:val="0"/>
      <w:divBdr>
        <w:top w:val="none" w:sz="0" w:space="0" w:color="auto"/>
        <w:left w:val="none" w:sz="0" w:space="0" w:color="auto"/>
        <w:bottom w:val="none" w:sz="0" w:space="0" w:color="auto"/>
        <w:right w:val="none" w:sz="0" w:space="0" w:color="auto"/>
      </w:divBdr>
    </w:div>
    <w:div w:id="557598121">
      <w:bodyDiv w:val="1"/>
      <w:marLeft w:val="0"/>
      <w:marRight w:val="0"/>
      <w:marTop w:val="0"/>
      <w:marBottom w:val="0"/>
      <w:divBdr>
        <w:top w:val="none" w:sz="0" w:space="0" w:color="auto"/>
        <w:left w:val="none" w:sz="0" w:space="0" w:color="auto"/>
        <w:bottom w:val="none" w:sz="0" w:space="0" w:color="auto"/>
        <w:right w:val="none" w:sz="0" w:space="0" w:color="auto"/>
      </w:divBdr>
    </w:div>
    <w:div w:id="572082102">
      <w:bodyDiv w:val="1"/>
      <w:marLeft w:val="0"/>
      <w:marRight w:val="0"/>
      <w:marTop w:val="0"/>
      <w:marBottom w:val="0"/>
      <w:divBdr>
        <w:top w:val="none" w:sz="0" w:space="0" w:color="auto"/>
        <w:left w:val="none" w:sz="0" w:space="0" w:color="auto"/>
        <w:bottom w:val="none" w:sz="0" w:space="0" w:color="auto"/>
        <w:right w:val="none" w:sz="0" w:space="0" w:color="auto"/>
      </w:divBdr>
    </w:div>
    <w:div w:id="641665523">
      <w:bodyDiv w:val="1"/>
      <w:marLeft w:val="0"/>
      <w:marRight w:val="0"/>
      <w:marTop w:val="0"/>
      <w:marBottom w:val="0"/>
      <w:divBdr>
        <w:top w:val="none" w:sz="0" w:space="0" w:color="auto"/>
        <w:left w:val="none" w:sz="0" w:space="0" w:color="auto"/>
        <w:bottom w:val="none" w:sz="0" w:space="0" w:color="auto"/>
        <w:right w:val="none" w:sz="0" w:space="0" w:color="auto"/>
      </w:divBdr>
    </w:div>
    <w:div w:id="708530501">
      <w:bodyDiv w:val="1"/>
      <w:marLeft w:val="0"/>
      <w:marRight w:val="0"/>
      <w:marTop w:val="0"/>
      <w:marBottom w:val="0"/>
      <w:divBdr>
        <w:top w:val="none" w:sz="0" w:space="0" w:color="auto"/>
        <w:left w:val="none" w:sz="0" w:space="0" w:color="auto"/>
        <w:bottom w:val="none" w:sz="0" w:space="0" w:color="auto"/>
        <w:right w:val="none" w:sz="0" w:space="0" w:color="auto"/>
      </w:divBdr>
    </w:div>
    <w:div w:id="720321438">
      <w:bodyDiv w:val="1"/>
      <w:marLeft w:val="0"/>
      <w:marRight w:val="0"/>
      <w:marTop w:val="0"/>
      <w:marBottom w:val="0"/>
      <w:divBdr>
        <w:top w:val="none" w:sz="0" w:space="0" w:color="auto"/>
        <w:left w:val="none" w:sz="0" w:space="0" w:color="auto"/>
        <w:bottom w:val="none" w:sz="0" w:space="0" w:color="auto"/>
        <w:right w:val="none" w:sz="0" w:space="0" w:color="auto"/>
      </w:divBdr>
    </w:div>
    <w:div w:id="1028141787">
      <w:bodyDiv w:val="1"/>
      <w:marLeft w:val="0"/>
      <w:marRight w:val="0"/>
      <w:marTop w:val="0"/>
      <w:marBottom w:val="0"/>
      <w:divBdr>
        <w:top w:val="none" w:sz="0" w:space="0" w:color="auto"/>
        <w:left w:val="none" w:sz="0" w:space="0" w:color="auto"/>
        <w:bottom w:val="none" w:sz="0" w:space="0" w:color="auto"/>
        <w:right w:val="none" w:sz="0" w:space="0" w:color="auto"/>
      </w:divBdr>
    </w:div>
    <w:div w:id="1095398598">
      <w:bodyDiv w:val="1"/>
      <w:marLeft w:val="0"/>
      <w:marRight w:val="0"/>
      <w:marTop w:val="0"/>
      <w:marBottom w:val="0"/>
      <w:divBdr>
        <w:top w:val="none" w:sz="0" w:space="0" w:color="auto"/>
        <w:left w:val="none" w:sz="0" w:space="0" w:color="auto"/>
        <w:bottom w:val="none" w:sz="0" w:space="0" w:color="auto"/>
        <w:right w:val="none" w:sz="0" w:space="0" w:color="auto"/>
      </w:divBdr>
    </w:div>
    <w:div w:id="1930967968">
      <w:bodyDiv w:val="1"/>
      <w:marLeft w:val="0"/>
      <w:marRight w:val="0"/>
      <w:marTop w:val="0"/>
      <w:marBottom w:val="0"/>
      <w:divBdr>
        <w:top w:val="none" w:sz="0" w:space="0" w:color="auto"/>
        <w:left w:val="none" w:sz="0" w:space="0" w:color="auto"/>
        <w:bottom w:val="none" w:sz="0" w:space="0" w:color="auto"/>
        <w:right w:val="none" w:sz="0" w:space="0" w:color="auto"/>
      </w:divBdr>
    </w:div>
    <w:div w:id="20879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roevaSP\Desktop\&#1086;&#1090;&#1095;&#1077;&#1090;%20&#1079;&#1072;%202019\&#1069;&#1082;&#1086;&#1085;&#1086;&#1084;&#1080;&#1103;%202019%20&#1075;&#1086;&#1076;&#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roevaSP\Desktop\&#1086;&#1090;&#1095;&#1077;&#1090;%20&#1079;&#1072;%202019\&#1069;&#1082;&#1086;&#1085;&#1086;&#1084;&#1080;&#1103;%202019%20&#1075;&#1086;&#1076;&#107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roevaSP\Desktop\&#1086;&#1090;&#1095;&#1077;&#1090;%20&#1079;&#1072;%202019\&#1069;&#1082;&#1086;&#1085;&#1086;&#1084;&#1080;&#1103;%202019%20&#1075;&#1086;&#1076;&#107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roevaSP\Desktop\&#1086;&#1090;&#1095;&#1077;&#1090;%20&#1079;&#1072;%202019\&#1069;&#1082;&#1086;&#1085;&#1086;&#1084;&#1080;&#1103;%202019%20&#1075;&#1086;&#1076;&#107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Экономия бюджетных средств по проведенным процедурам, в млн.руб.</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'для сайта'!$B$2</c:f>
              <c:strCache>
                <c:ptCount val="1"/>
                <c:pt idx="0">
                  <c:v>Экономия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'для сайта'!$A$3:$A$4</c:f>
              <c:strCache>
                <c:ptCount val="2"/>
                <c:pt idx="0">
                  <c:v>2018 г.</c:v>
                </c:pt>
                <c:pt idx="1">
                  <c:v>2019 г.</c:v>
                </c:pt>
              </c:strCache>
            </c:strRef>
          </c:cat>
          <c:val>
            <c:numRef>
              <c:f>'для сайта'!$B$3:$B$4</c:f>
              <c:numCache>
                <c:formatCode>0.0</c:formatCode>
                <c:ptCount val="2"/>
                <c:pt idx="0">
                  <c:v>372.13</c:v>
                </c:pt>
                <c:pt idx="1">
                  <c:v>283.13427812999998</c:v>
                </c:pt>
              </c:numCache>
            </c:numRef>
          </c:val>
          <c:extLst>
            <c:ext xmlns:c16="http://schemas.microsoft.com/office/drawing/2014/chart" uri="{C3380CC4-5D6E-409C-BE32-E72D297353CC}">
              <c16:uniqueId val="{00000000-B47E-408A-B3C1-4BE9563FE1A8}"/>
            </c:ext>
          </c:extLst>
        </c:ser>
        <c:dLbls>
          <c:dLblPos val="outEnd"/>
          <c:showLegendKey val="0"/>
          <c:showVal val="1"/>
          <c:showCatName val="0"/>
          <c:showSerName val="0"/>
          <c:showPercent val="0"/>
          <c:showBubbleSize val="0"/>
        </c:dLbls>
        <c:gapWidth val="219"/>
        <c:overlap val="-27"/>
        <c:axId val="311934816"/>
        <c:axId val="199721648"/>
      </c:barChart>
      <c:catAx>
        <c:axId val="31193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9721648"/>
        <c:crosses val="autoZero"/>
        <c:auto val="1"/>
        <c:lblAlgn val="ctr"/>
        <c:lblOffset val="100"/>
        <c:noMultiLvlLbl val="0"/>
      </c:catAx>
      <c:valAx>
        <c:axId val="1997216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193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t>Структура закупок в разрезе способов определения поставщика (подрядчика, исполнителя)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08-4698-98CB-F7E434B2028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08-4698-98CB-F7E434B2028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08-4698-98CB-F7E434B2028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08-4698-98CB-F7E434B202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08-4698-98CB-F7E434B2028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408-4698-98CB-F7E434B20285}"/>
              </c:ext>
            </c:extLst>
          </c:dPt>
          <c:dLbls>
            <c:dLbl>
              <c:idx val="0"/>
              <c:layout>
                <c:manualLayout>
                  <c:x val="3.8022813688212927E-2"/>
                  <c:y val="-0.112965324955229"/>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08-4698-98CB-F7E434B20285}"/>
                </c:ext>
              </c:extLst>
            </c:dLbl>
            <c:dLbl>
              <c:idx val="1"/>
              <c:layout>
                <c:manualLayout>
                  <c:x val="0.12627604882722993"/>
                  <c:y val="5.8195203346928431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08-4698-98CB-F7E434B20285}"/>
                </c:ext>
              </c:extLst>
            </c:dLbl>
            <c:dLbl>
              <c:idx val="2"/>
              <c:layout>
                <c:manualLayout>
                  <c:x val="4.0557596967045785E-2"/>
                  <c:y val="8.2158520838780807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08-4698-98CB-F7E434B20285}"/>
                </c:ext>
              </c:extLst>
            </c:dLbl>
            <c:dLbl>
              <c:idx val="3"/>
              <c:layout>
                <c:manualLayout>
                  <c:x val="-0.12167300380228137"/>
                  <c:y val="1.3692766661239938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08-4698-98CB-F7E434B20285}"/>
                </c:ext>
              </c:extLst>
            </c:dLbl>
            <c:dLbl>
              <c:idx val="4"/>
              <c:layout>
                <c:manualLayout>
                  <c:x val="-1.7743979721166044E-2"/>
                  <c:y val="-3.4231916653099685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6929612885841742"/>
                      <c:h val="0.14541206063200204"/>
                    </c:manualLayout>
                  </c15:layout>
                </c:ext>
                <c:ext xmlns:c16="http://schemas.microsoft.com/office/drawing/2014/chart" uri="{C3380CC4-5D6E-409C-BE32-E72D297353CC}">
                  <c16:uniqueId val="{00000009-7408-4698-98CB-F7E434B20285}"/>
                </c:ext>
              </c:extLst>
            </c:dLbl>
            <c:dLbl>
              <c:idx val="5"/>
              <c:layout>
                <c:manualLayout>
                  <c:x val="-3.4675058203275898E-2"/>
                  <c:y val="3.93666712744715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7690438695163103"/>
                      <c:h val="0.10300646688249897"/>
                    </c:manualLayout>
                  </c15:layout>
                </c:ext>
                <c:ext xmlns:c16="http://schemas.microsoft.com/office/drawing/2014/chart" uri="{C3380CC4-5D6E-409C-BE32-E72D297353CC}">
                  <c16:uniqueId val="{0000000B-7408-4698-98CB-F7E434B2028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('для сайта'!$A$18:$A$21,'для сайта'!$A$23:$A$24)</c:f>
              <c:strCache>
                <c:ptCount val="6"/>
                <c:pt idx="0">
                  <c:v>Электронный аукцион</c:v>
                </c:pt>
                <c:pt idx="1">
                  <c:v>Конкурсы</c:v>
                </c:pt>
                <c:pt idx="2">
                  <c:v>Запрос котировок</c:v>
                </c:pt>
                <c:pt idx="3">
                  <c:v>Запрос предложений</c:v>
                </c:pt>
                <c:pt idx="4">
                  <c:v>Единственный поставщик (закупки малого объема)</c:v>
                </c:pt>
                <c:pt idx="5">
                  <c:v>Единственный поставщик (ст. 93 Закона о контрактной системе)</c:v>
                </c:pt>
              </c:strCache>
            </c:strRef>
          </c:cat>
          <c:val>
            <c:numRef>
              <c:f>('для сайта'!$D$18:$D$21,'для сайта'!$D$23:$D$24)</c:f>
              <c:numCache>
                <c:formatCode>_(* #,##0.00_);_(* \(#,##0.00\);_(* "-"??_);_(@_)</c:formatCode>
                <c:ptCount val="6"/>
                <c:pt idx="0">
                  <c:v>54.39</c:v>
                </c:pt>
                <c:pt idx="1">
                  <c:v>10.210000000000001</c:v>
                </c:pt>
                <c:pt idx="2">
                  <c:v>0.55000000000000004</c:v>
                </c:pt>
                <c:pt idx="3">
                  <c:v>0.44</c:v>
                </c:pt>
                <c:pt idx="4">
                  <c:v>19.309999999999999</c:v>
                </c:pt>
                <c:pt idx="5">
                  <c:v>15.1</c:v>
                </c:pt>
              </c:numCache>
            </c:numRef>
          </c:val>
          <c:extLst>
            <c:ext xmlns:c16="http://schemas.microsoft.com/office/drawing/2014/chart" uri="{C3380CC4-5D6E-409C-BE32-E72D297353CC}">
              <c16:uniqueId val="{0000000C-7408-4698-98CB-F7E434B20285}"/>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t>Количество размещенных закупок за аналогичный период </a:t>
            </a:r>
          </a:p>
          <a:p>
            <a:pPr>
              <a:defRPr b="1"/>
            </a:pPr>
            <a:r>
              <a:rPr lang="ru-RU" b="1"/>
              <a:t>2018 г. и 2019 г.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'для сайта'!$B$29</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'для сайта'!$A$30:$A$33</c:f>
              <c:strCache>
                <c:ptCount val="4"/>
                <c:pt idx="0">
                  <c:v>Электронный аукцион</c:v>
                </c:pt>
                <c:pt idx="1">
                  <c:v>Конкурс</c:v>
                </c:pt>
                <c:pt idx="2">
                  <c:v>Запрос котировок</c:v>
                </c:pt>
                <c:pt idx="3">
                  <c:v>Запрос предложений</c:v>
                </c:pt>
              </c:strCache>
            </c:strRef>
          </c:cat>
          <c:val>
            <c:numRef>
              <c:f>'для сайта'!$B$30:$B$33</c:f>
              <c:numCache>
                <c:formatCode>General</c:formatCode>
                <c:ptCount val="4"/>
                <c:pt idx="0">
                  <c:v>779</c:v>
                </c:pt>
                <c:pt idx="1">
                  <c:v>120</c:v>
                </c:pt>
                <c:pt idx="2">
                  <c:v>253</c:v>
                </c:pt>
                <c:pt idx="3">
                  <c:v>0</c:v>
                </c:pt>
              </c:numCache>
            </c:numRef>
          </c:val>
          <c:extLst>
            <c:ext xmlns:c16="http://schemas.microsoft.com/office/drawing/2014/chart" uri="{C3380CC4-5D6E-409C-BE32-E72D297353CC}">
              <c16:uniqueId val="{00000000-B304-4464-B25B-15292E2033BF}"/>
            </c:ext>
          </c:extLst>
        </c:ser>
        <c:ser>
          <c:idx val="1"/>
          <c:order val="1"/>
          <c:tx>
            <c:strRef>
              <c:f>'для сайта'!$C$29</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'для сайта'!$A$30:$A$33</c:f>
              <c:strCache>
                <c:ptCount val="4"/>
                <c:pt idx="0">
                  <c:v>Электронный аукцион</c:v>
                </c:pt>
                <c:pt idx="1">
                  <c:v>Конкурс</c:v>
                </c:pt>
                <c:pt idx="2">
                  <c:v>Запрос котировок</c:v>
                </c:pt>
                <c:pt idx="3">
                  <c:v>Запрос предложений</c:v>
                </c:pt>
              </c:strCache>
            </c:strRef>
          </c:cat>
          <c:val>
            <c:numRef>
              <c:f>'для сайта'!$C$30:$C$33</c:f>
              <c:numCache>
                <c:formatCode>General</c:formatCode>
                <c:ptCount val="4"/>
                <c:pt idx="0">
                  <c:v>862</c:v>
                </c:pt>
                <c:pt idx="1">
                  <c:v>160</c:v>
                </c:pt>
                <c:pt idx="2">
                  <c:v>211</c:v>
                </c:pt>
                <c:pt idx="3">
                  <c:v>5</c:v>
                </c:pt>
              </c:numCache>
            </c:numRef>
          </c:val>
          <c:extLst>
            <c:ext xmlns:c16="http://schemas.microsoft.com/office/drawing/2014/chart" uri="{C3380CC4-5D6E-409C-BE32-E72D297353CC}">
              <c16:uniqueId val="{00000001-B304-4464-B25B-15292E2033BF}"/>
            </c:ext>
          </c:extLst>
        </c:ser>
        <c:dLbls>
          <c:dLblPos val="outEnd"/>
          <c:showLegendKey val="0"/>
          <c:showVal val="1"/>
          <c:showCatName val="0"/>
          <c:showSerName val="0"/>
          <c:showPercent val="0"/>
          <c:showBubbleSize val="0"/>
        </c:dLbls>
        <c:gapWidth val="219"/>
        <c:overlap val="-27"/>
        <c:axId val="319341560"/>
        <c:axId val="319341952"/>
      </c:barChart>
      <c:catAx>
        <c:axId val="319341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9341952"/>
        <c:crosses val="autoZero"/>
        <c:auto val="1"/>
        <c:lblAlgn val="ctr"/>
        <c:lblOffset val="100"/>
        <c:noMultiLvlLbl val="0"/>
      </c:catAx>
      <c:valAx>
        <c:axId val="31934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93415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Количество расторгнутых контрактов (шт.)</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'для сайта'!$A$59:$A$60</c:f>
              <c:numCache>
                <c:formatCode>General</c:formatCode>
                <c:ptCount val="2"/>
                <c:pt idx="0">
                  <c:v>2018</c:v>
                </c:pt>
                <c:pt idx="1">
                  <c:v>2019</c:v>
                </c:pt>
              </c:numCache>
            </c:numRef>
          </c:cat>
          <c:val>
            <c:numRef>
              <c:f>'для сайта'!$B$59:$B$60</c:f>
              <c:numCache>
                <c:formatCode>General</c:formatCode>
                <c:ptCount val="2"/>
                <c:pt idx="0">
                  <c:v>15</c:v>
                </c:pt>
                <c:pt idx="1">
                  <c:v>18</c:v>
                </c:pt>
              </c:numCache>
            </c:numRef>
          </c:val>
          <c:extLst>
            <c:ext xmlns:c16="http://schemas.microsoft.com/office/drawing/2014/chart" uri="{C3380CC4-5D6E-409C-BE32-E72D297353CC}">
              <c16:uniqueId val="{00000000-4C97-48DE-9900-212DDDEEDFB0}"/>
            </c:ext>
          </c:extLst>
        </c:ser>
        <c:dLbls>
          <c:dLblPos val="outEnd"/>
          <c:showLegendKey val="0"/>
          <c:showVal val="1"/>
          <c:showCatName val="0"/>
          <c:showSerName val="0"/>
          <c:showPercent val="0"/>
          <c:showBubbleSize val="0"/>
        </c:dLbls>
        <c:gapWidth val="219"/>
        <c:overlap val="-27"/>
        <c:axId val="313921768"/>
        <c:axId val="313922160"/>
      </c:barChart>
      <c:catAx>
        <c:axId val="313921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3922160"/>
        <c:crosses val="autoZero"/>
        <c:auto val="1"/>
        <c:lblAlgn val="ctr"/>
        <c:lblOffset val="100"/>
        <c:noMultiLvlLbl val="0"/>
      </c:catAx>
      <c:valAx>
        <c:axId val="313922160"/>
        <c:scaling>
          <c:orientation val="minMax"/>
          <c:max val="20"/>
          <c:min val="1"/>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3921768"/>
        <c:crosses val="autoZero"/>
        <c:crossBetween val="between"/>
        <c:majorUnit val="2"/>
        <c:min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 М. Сивцева</dc:creator>
  <cp:keywords/>
  <dc:description/>
  <cp:lastModifiedBy>Майя М. Сивцева</cp:lastModifiedBy>
  <cp:revision>2</cp:revision>
  <cp:lastPrinted>2021-10-14T07:50:00Z</cp:lastPrinted>
  <dcterms:created xsi:type="dcterms:W3CDTF">2021-10-14T07:50:00Z</dcterms:created>
  <dcterms:modified xsi:type="dcterms:W3CDTF">2021-10-14T07:50:00Z</dcterms:modified>
</cp:coreProperties>
</file>